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B" w:rsidRDefault="00C868DB" w:rsidP="00C868DB">
      <w:pPr>
        <w:pStyle w:val="Ttulo2"/>
      </w:pPr>
      <w:r w:rsidRPr="00C868DB">
        <w:t>T</w:t>
      </w:r>
      <w:r>
        <w:t>ilde diacrítica</w:t>
      </w:r>
    </w:p>
    <w:p w:rsidR="00C868DB" w:rsidRPr="00C868DB" w:rsidRDefault="00C868DB" w:rsidP="00C868DB"/>
    <w:p w:rsidR="00C868DB" w:rsidRPr="00C868DB" w:rsidRDefault="00C868DB" w:rsidP="00C868DB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C868DB">
        <w:rPr>
          <w:rFonts w:cs="Georgia"/>
          <w:color w:val="000000"/>
        </w:rPr>
        <w:t>Se llama tilde diacrítica al acento gráfico que permite distinguir palabras con idéntica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forma, pero que pertenecen a categorías gramaticales diferentes. En general, llevan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tilde diacrítica las formas tónicas (las que se pronuncian con acento prosódico o de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intensidad) y no la llevan las formas átonas (las que carecen de acento prosódico o de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intensidad dentro de la cadena hablada. Hay algunas excepciones,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 xml:space="preserve">como es el caso de los nombres de las letras </w:t>
      </w:r>
      <w:r w:rsidRPr="00C868DB">
        <w:rPr>
          <w:rFonts w:cs="Georgia"/>
          <w:i/>
          <w:iCs/>
          <w:color w:val="000000"/>
        </w:rPr>
        <w:t xml:space="preserve">te </w:t>
      </w:r>
      <w:r w:rsidRPr="00C868DB">
        <w:rPr>
          <w:rFonts w:cs="Georgia"/>
          <w:color w:val="000000"/>
        </w:rPr>
        <w:t xml:space="preserve">y </w:t>
      </w:r>
      <w:r w:rsidRPr="00C868DB">
        <w:rPr>
          <w:rFonts w:cs="Georgia"/>
          <w:i/>
          <w:iCs/>
          <w:color w:val="000000"/>
        </w:rPr>
        <w:t xml:space="preserve">de </w:t>
      </w:r>
      <w:r w:rsidRPr="00C868DB">
        <w:rPr>
          <w:rFonts w:cs="Georgia"/>
          <w:color w:val="000000"/>
        </w:rPr>
        <w:t xml:space="preserve">y los de las notas musicales </w:t>
      </w:r>
      <w:r w:rsidRPr="00C868DB">
        <w:rPr>
          <w:rFonts w:cs="Georgia"/>
          <w:i/>
          <w:iCs/>
          <w:color w:val="000000"/>
        </w:rPr>
        <w:t xml:space="preserve">mi </w:t>
      </w:r>
      <w:r w:rsidRPr="00C868DB">
        <w:rPr>
          <w:rFonts w:cs="Georgia"/>
          <w:color w:val="000000"/>
        </w:rPr>
        <w:t xml:space="preserve">y </w:t>
      </w:r>
      <w:r w:rsidRPr="00C868DB">
        <w:rPr>
          <w:rFonts w:cs="Georgia"/>
          <w:i/>
          <w:iCs/>
          <w:color w:val="000000"/>
        </w:rPr>
        <w:t>si,</w:t>
      </w:r>
      <w:r>
        <w:rPr>
          <w:rFonts w:cs="Georgia"/>
          <w:i/>
          <w:iCs/>
          <w:color w:val="000000"/>
        </w:rPr>
        <w:t xml:space="preserve"> </w:t>
      </w:r>
      <w:r w:rsidRPr="00C868DB">
        <w:rPr>
          <w:rFonts w:cs="Georgia"/>
          <w:color w:val="000000"/>
        </w:rPr>
        <w:t>que, siendo palabras tónicas, no llevan tilde (al igual que las respectivas formas átonas: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 xml:space="preserve">la preposición </w:t>
      </w:r>
      <w:r w:rsidRPr="00C868DB">
        <w:rPr>
          <w:rFonts w:cs="Georgia"/>
          <w:i/>
          <w:iCs/>
          <w:color w:val="000000"/>
        </w:rPr>
        <w:t xml:space="preserve">de, </w:t>
      </w:r>
      <w:r w:rsidRPr="00C868DB">
        <w:rPr>
          <w:rFonts w:cs="Georgia"/>
          <w:color w:val="000000"/>
        </w:rPr>
        <w:t xml:space="preserve">el pronombre personal </w:t>
      </w:r>
      <w:r w:rsidRPr="00C868DB">
        <w:rPr>
          <w:rFonts w:cs="Georgia"/>
          <w:i/>
          <w:iCs/>
          <w:color w:val="000000"/>
        </w:rPr>
        <w:t xml:space="preserve">te, </w:t>
      </w:r>
      <w:r w:rsidRPr="00C868DB">
        <w:rPr>
          <w:rFonts w:cs="Georgia"/>
          <w:color w:val="000000"/>
        </w:rPr>
        <w:t xml:space="preserve">el adjetivo posesivo </w:t>
      </w:r>
      <w:r w:rsidRPr="00C868DB">
        <w:rPr>
          <w:rFonts w:cs="Georgia"/>
          <w:i/>
          <w:iCs/>
          <w:color w:val="000000"/>
        </w:rPr>
        <w:t xml:space="preserve">mi </w:t>
      </w:r>
      <w:r w:rsidRPr="00C868DB">
        <w:rPr>
          <w:rFonts w:cs="Georgia"/>
          <w:color w:val="000000"/>
        </w:rPr>
        <w:t xml:space="preserve">y la conjunción </w:t>
      </w:r>
      <w:r w:rsidRPr="00C868DB">
        <w:rPr>
          <w:rFonts w:cs="Georgia"/>
          <w:i/>
          <w:iCs/>
          <w:color w:val="000000"/>
        </w:rPr>
        <w:t>si)</w:t>
      </w:r>
      <w:r w:rsidRPr="00C868DB">
        <w:rPr>
          <w:rFonts w:cs="Georgia"/>
          <w:color w:val="000000"/>
        </w:rPr>
        <w:t>;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 xml:space="preserve">o la palabra </w:t>
      </w:r>
      <w:r w:rsidRPr="00C868DB">
        <w:rPr>
          <w:rFonts w:cs="Georgia"/>
          <w:i/>
          <w:iCs/>
          <w:color w:val="000000"/>
        </w:rPr>
        <w:t xml:space="preserve">más, </w:t>
      </w:r>
      <w:r w:rsidRPr="00C868DB">
        <w:rPr>
          <w:rFonts w:cs="Georgia"/>
          <w:color w:val="000000"/>
        </w:rPr>
        <w:t>que aunque tiende a pronunciarse átona cuando se usa con valor de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adición o suma (</w:t>
      </w:r>
      <w:r w:rsidRPr="00C868DB">
        <w:rPr>
          <w:rFonts w:cs="Georgia"/>
          <w:i/>
          <w:iCs/>
          <w:color w:val="000000"/>
        </w:rPr>
        <w:t>dos más dos son cuatro</w:t>
      </w:r>
      <w:r w:rsidRPr="00C868DB">
        <w:rPr>
          <w:rFonts w:cs="Georgia"/>
          <w:color w:val="000000"/>
        </w:rPr>
        <w:t>) se escribe con tilde. En otras ocasiones, la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tilde diacrítica tiene como función evitar dobles sentidos (anfibologías), como en el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 xml:space="preserve">caso de los demostrativos </w:t>
      </w:r>
      <w:r w:rsidRPr="00C868DB">
        <w:rPr>
          <w:rFonts w:cs="Georgia"/>
          <w:i/>
          <w:iCs/>
          <w:color w:val="000000"/>
        </w:rPr>
        <w:t xml:space="preserve">este, ese </w:t>
      </w:r>
      <w:r w:rsidRPr="00C868DB">
        <w:rPr>
          <w:rFonts w:cs="Georgia"/>
          <w:color w:val="000000"/>
        </w:rPr>
        <w:t xml:space="preserve">y </w:t>
      </w:r>
      <w:r w:rsidRPr="00C868DB">
        <w:rPr>
          <w:rFonts w:cs="Georgia"/>
          <w:i/>
          <w:iCs/>
          <w:color w:val="000000"/>
        </w:rPr>
        <w:t xml:space="preserve">aquel </w:t>
      </w:r>
      <w:r w:rsidRPr="00C868DB">
        <w:rPr>
          <w:rFonts w:cs="Georgia"/>
          <w:color w:val="000000"/>
        </w:rPr>
        <w:t xml:space="preserve"> o de la palabra </w:t>
      </w:r>
      <w:r w:rsidRPr="00C868DB">
        <w:rPr>
          <w:rFonts w:cs="Georgia"/>
          <w:i/>
          <w:iCs/>
          <w:color w:val="000000"/>
        </w:rPr>
        <w:t>sol</w:t>
      </w:r>
      <w:r>
        <w:rPr>
          <w:rFonts w:cs="Georgia"/>
          <w:i/>
          <w:iCs/>
          <w:color w:val="000000"/>
        </w:rPr>
        <w:t>o</w:t>
      </w:r>
      <w:r w:rsidRPr="00C868DB">
        <w:rPr>
          <w:rFonts w:cs="Georgia"/>
          <w:color w:val="000000"/>
        </w:rPr>
        <w:t>.</w:t>
      </w:r>
    </w:p>
    <w:p w:rsidR="00937DA4" w:rsidRPr="00C868DB" w:rsidRDefault="00C868DB" w:rsidP="00C868DB">
      <w:pPr>
        <w:autoSpaceDE w:val="0"/>
        <w:autoSpaceDN w:val="0"/>
        <w:adjustRightInd w:val="0"/>
        <w:spacing w:after="0" w:line="360" w:lineRule="auto"/>
        <w:jc w:val="both"/>
      </w:pPr>
      <w:r w:rsidRPr="00C868DB">
        <w:rPr>
          <w:rFonts w:cs="Georgia"/>
          <w:color w:val="000000"/>
        </w:rPr>
        <w:t>Salvo en estos dos últimos casos, la tilde diacrítica no distingue parejas de palabras de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 xml:space="preserve">igual forma y que siempre son tónicas; así, </w:t>
      </w:r>
      <w:r w:rsidRPr="00C868DB">
        <w:rPr>
          <w:rFonts w:cs="Georgia"/>
          <w:i/>
          <w:iCs/>
          <w:color w:val="000000"/>
        </w:rPr>
        <w:t xml:space="preserve">di </w:t>
      </w:r>
      <w:r w:rsidRPr="00C868DB">
        <w:rPr>
          <w:rFonts w:cs="Georgia"/>
          <w:color w:val="000000"/>
        </w:rPr>
        <w:t xml:space="preserve">es forma del verbo </w:t>
      </w:r>
      <w:r w:rsidRPr="00C868DB">
        <w:rPr>
          <w:rFonts w:cs="Georgia"/>
          <w:i/>
          <w:iCs/>
          <w:color w:val="000000"/>
        </w:rPr>
        <w:t xml:space="preserve">decir </w:t>
      </w:r>
      <w:r w:rsidRPr="00C868DB">
        <w:rPr>
          <w:rFonts w:cs="Georgia"/>
          <w:color w:val="000000"/>
        </w:rPr>
        <w:t xml:space="preserve">y del verbo </w:t>
      </w:r>
      <w:r w:rsidRPr="00C868DB">
        <w:rPr>
          <w:rFonts w:cs="Georgia"/>
          <w:i/>
          <w:iCs/>
          <w:color w:val="000000"/>
        </w:rPr>
        <w:t>dar;</w:t>
      </w:r>
      <w:r>
        <w:rPr>
          <w:rFonts w:cs="Georgia"/>
          <w:i/>
          <w:iCs/>
          <w:color w:val="000000"/>
        </w:rPr>
        <w:t xml:space="preserve"> </w:t>
      </w:r>
      <w:r w:rsidRPr="00C868DB">
        <w:rPr>
          <w:rFonts w:cs="Georgia"/>
          <w:i/>
          <w:iCs/>
          <w:color w:val="000000"/>
        </w:rPr>
        <w:t xml:space="preserve">fue </w:t>
      </w:r>
      <w:r w:rsidRPr="00C868DB">
        <w:rPr>
          <w:rFonts w:cs="Georgia"/>
          <w:color w:val="000000"/>
        </w:rPr>
        <w:t xml:space="preserve">y </w:t>
      </w:r>
      <w:r w:rsidRPr="00C868DB">
        <w:rPr>
          <w:rFonts w:cs="Georgia"/>
          <w:i/>
          <w:iCs/>
          <w:color w:val="000000"/>
        </w:rPr>
        <w:t xml:space="preserve">fui, </w:t>
      </w:r>
      <w:r w:rsidRPr="00C868DB">
        <w:rPr>
          <w:rFonts w:cs="Georgia"/>
          <w:color w:val="000000"/>
        </w:rPr>
        <w:t xml:space="preserve">son formas del verbo </w:t>
      </w:r>
      <w:r w:rsidRPr="00C868DB">
        <w:rPr>
          <w:rFonts w:cs="Georgia"/>
          <w:i/>
          <w:iCs/>
          <w:color w:val="000000"/>
        </w:rPr>
        <w:t xml:space="preserve">ir </w:t>
      </w:r>
      <w:r w:rsidRPr="00C868DB">
        <w:rPr>
          <w:rFonts w:cs="Georgia"/>
          <w:color w:val="000000"/>
        </w:rPr>
        <w:t xml:space="preserve">y del verbo </w:t>
      </w:r>
      <w:r w:rsidRPr="00C868DB">
        <w:rPr>
          <w:rFonts w:cs="Georgia"/>
          <w:i/>
          <w:iCs/>
          <w:color w:val="000000"/>
        </w:rPr>
        <w:t xml:space="preserve">ser; vino </w:t>
      </w:r>
      <w:r w:rsidRPr="00C868DB">
        <w:rPr>
          <w:rFonts w:cs="Georgia"/>
          <w:color w:val="000000"/>
        </w:rPr>
        <w:t xml:space="preserve">es forma del verbo </w:t>
      </w:r>
      <w:r w:rsidRPr="00C868DB">
        <w:rPr>
          <w:rFonts w:cs="Georgia"/>
          <w:i/>
          <w:iCs/>
          <w:color w:val="000000"/>
        </w:rPr>
        <w:t xml:space="preserve">venir </w:t>
      </w:r>
      <w:r w:rsidRPr="00C868DB">
        <w:rPr>
          <w:rFonts w:cs="Georgia"/>
          <w:color w:val="000000"/>
        </w:rPr>
        <w:t>y un</w:t>
      </w:r>
      <w:r>
        <w:rPr>
          <w:rFonts w:cs="Georgia"/>
          <w:color w:val="000000"/>
        </w:rPr>
        <w:t xml:space="preserve"> </w:t>
      </w:r>
      <w:r w:rsidRPr="00C868DB">
        <w:rPr>
          <w:rFonts w:cs="Georgia"/>
          <w:color w:val="000000"/>
        </w:rPr>
        <w:t>sustantivo, etc.</w:t>
      </w:r>
    </w:p>
    <w:sectPr w:rsidR="00937DA4" w:rsidRPr="00C868DB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8DB"/>
    <w:rsid w:val="002D4DB0"/>
    <w:rsid w:val="0081794D"/>
    <w:rsid w:val="00937DA4"/>
    <w:rsid w:val="00C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C8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2010-04-10T11:35:00Z</dcterms:created>
  <dcterms:modified xsi:type="dcterms:W3CDTF">2010-04-10T11:37:00Z</dcterms:modified>
</cp:coreProperties>
</file>