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07" w:rsidRPr="00752307" w:rsidRDefault="00752307" w:rsidP="00CD75B3">
      <w:pPr>
        <w:jc w:val="center"/>
        <w:rPr>
          <w:b/>
          <w:sz w:val="28"/>
          <w:szCs w:val="28"/>
        </w:rPr>
      </w:pPr>
      <w:r w:rsidRPr="00752307">
        <w:rPr>
          <w:b/>
          <w:sz w:val="28"/>
          <w:szCs w:val="28"/>
        </w:rPr>
        <w:t>St</w:t>
      </w:r>
      <w:r w:rsidR="00CD775D">
        <w:rPr>
          <w:b/>
          <w:sz w:val="28"/>
          <w:szCs w:val="28"/>
        </w:rPr>
        <w:t>ra</w:t>
      </w:r>
      <w:r w:rsidRPr="00752307">
        <w:rPr>
          <w:b/>
          <w:sz w:val="28"/>
          <w:szCs w:val="28"/>
        </w:rPr>
        <w:t xml:space="preserve">tegic Plan </w:t>
      </w:r>
      <w:r>
        <w:rPr>
          <w:b/>
          <w:sz w:val="28"/>
          <w:szCs w:val="28"/>
        </w:rPr>
        <w:t>Priority</w:t>
      </w:r>
    </w:p>
    <w:p w:rsidR="00752307" w:rsidRPr="00752307" w:rsidRDefault="00752307" w:rsidP="00CD75B3">
      <w:pPr>
        <w:jc w:val="center"/>
        <w:rPr>
          <w:b/>
          <w:sz w:val="28"/>
          <w:szCs w:val="28"/>
        </w:rPr>
      </w:pPr>
      <w:r w:rsidRPr="00752307">
        <w:rPr>
          <w:b/>
          <w:sz w:val="28"/>
          <w:szCs w:val="28"/>
        </w:rPr>
        <w:t>Priority B</w:t>
      </w:r>
    </w:p>
    <w:p w:rsidR="00752307" w:rsidRDefault="00752307" w:rsidP="00752307">
      <w:pPr>
        <w:ind w:left="720" w:hanging="720"/>
        <w:rPr>
          <w:rFonts w:ascii="Calibri" w:hAnsi="Calibri"/>
          <w:b/>
          <w:u w:val="single"/>
        </w:rPr>
      </w:pPr>
      <w:r w:rsidRPr="00A36781">
        <w:rPr>
          <w:rFonts w:ascii="Calibri" w:hAnsi="Calibri"/>
          <w:b/>
          <w:u w:val="single"/>
        </w:rPr>
        <w:t>Opportunities</w:t>
      </w:r>
      <w:r>
        <w:rPr>
          <w:rFonts w:ascii="Calibri" w:hAnsi="Calibri"/>
          <w:b/>
          <w:u w:val="single"/>
        </w:rPr>
        <w:t>:</w:t>
      </w:r>
    </w:p>
    <w:p w:rsidR="00752307" w:rsidRPr="00251B90" w:rsidRDefault="00752307" w:rsidP="00752307">
      <w:pPr>
        <w:spacing w:after="0" w:line="240" w:lineRule="auto"/>
        <w:ind w:left="720"/>
        <w:rPr>
          <w:rFonts w:ascii="Calibri" w:hAnsi="Calibri"/>
        </w:rPr>
      </w:pPr>
    </w:p>
    <w:p w:rsidR="00752307" w:rsidRPr="00752307" w:rsidRDefault="00752307" w:rsidP="00752307">
      <w:pPr>
        <w:pStyle w:val="ListParagraph"/>
        <w:numPr>
          <w:ilvl w:val="0"/>
          <w:numId w:val="7"/>
        </w:numPr>
        <w:rPr>
          <w:rFonts w:ascii="Calibri" w:hAnsi="Calibri"/>
        </w:rPr>
      </w:pPr>
      <w:r w:rsidRPr="00752307">
        <w:rPr>
          <w:rFonts w:ascii="Calibri" w:hAnsi="Calibri"/>
        </w:rPr>
        <w:t xml:space="preserve"> Accessing existing networks and relationships within the region and across the stakeholder groupings to create a shared regional vision and progress youth outcomes </w:t>
      </w:r>
    </w:p>
    <w:p w:rsidR="00752307" w:rsidRDefault="00752307" w:rsidP="00752307">
      <w:pPr>
        <w:spacing w:before="100" w:beforeAutospacing="1" w:after="120"/>
        <w:rPr>
          <w:rFonts w:ascii="Calibri" w:hAnsi="Calibri"/>
          <w:b/>
        </w:rPr>
      </w:pPr>
      <w:r>
        <w:rPr>
          <w:rFonts w:ascii="Calibri" w:hAnsi="Calibri"/>
          <w:b/>
        </w:rPr>
        <w:t>Priorities for Action</w:t>
      </w:r>
    </w:p>
    <w:p w:rsidR="00752307" w:rsidRDefault="00752307" w:rsidP="00752307">
      <w:pPr>
        <w:spacing w:before="100" w:beforeAutospacing="1" w:after="120"/>
        <w:rPr>
          <w:rFonts w:ascii="Calibri" w:hAnsi="Calibri"/>
        </w:rPr>
      </w:pPr>
      <w:r>
        <w:rPr>
          <w:rFonts w:ascii="Calibri" w:hAnsi="Calibri"/>
        </w:rPr>
        <w:t xml:space="preserve">This section outlines the approach to be taken in </w:t>
      </w:r>
      <w:proofErr w:type="spellStart"/>
      <w:r>
        <w:rPr>
          <w:rFonts w:ascii="Calibri" w:hAnsi="Calibri"/>
        </w:rPr>
        <w:t>capitalising</w:t>
      </w:r>
      <w:proofErr w:type="spellEnd"/>
      <w:r>
        <w:rPr>
          <w:rFonts w:ascii="Calibri" w:hAnsi="Calibri"/>
        </w:rPr>
        <w:t xml:space="preserve"> on the opportunities and addressing the challenges identified above.  These priorities for action are underpinned </w:t>
      </w:r>
      <w:r w:rsidRPr="00C22A24">
        <w:rPr>
          <w:rFonts w:ascii="Calibri" w:hAnsi="Calibri"/>
        </w:rPr>
        <w:t>by</w:t>
      </w:r>
      <w:r w:rsidRPr="00C22A24">
        <w:rPr>
          <w:rFonts w:ascii="Calibri" w:hAnsi="Calibri"/>
          <w:b/>
        </w:rPr>
        <w:t xml:space="preserve"> asset based community development models</w:t>
      </w:r>
      <w:r>
        <w:rPr>
          <w:rFonts w:ascii="Calibri" w:hAnsi="Calibri"/>
        </w:rPr>
        <w:t xml:space="preserve">. </w:t>
      </w:r>
      <w:r w:rsidRPr="001E3BB3">
        <w:rPr>
          <w:rFonts w:ascii="Calibri" w:hAnsi="Calibri"/>
        </w:rPr>
        <w:t>By making th</w:t>
      </w:r>
      <w:r>
        <w:rPr>
          <w:rFonts w:ascii="Calibri" w:hAnsi="Calibri"/>
        </w:rPr>
        <w:t>ese</w:t>
      </w:r>
      <w:r w:rsidRPr="001E3BB3">
        <w:rPr>
          <w:rFonts w:ascii="Calibri" w:hAnsi="Calibri"/>
        </w:rPr>
        <w:t xml:space="preserve"> opportunit</w:t>
      </w:r>
      <w:r>
        <w:rPr>
          <w:rFonts w:ascii="Calibri" w:hAnsi="Calibri"/>
        </w:rPr>
        <w:t>ies</w:t>
      </w:r>
      <w:r w:rsidRPr="001E3BB3">
        <w:rPr>
          <w:rFonts w:ascii="Calibri" w:hAnsi="Calibri"/>
        </w:rPr>
        <w:t xml:space="preserve"> a priority the </w:t>
      </w:r>
      <w:r>
        <w:rPr>
          <w:rFonts w:ascii="Calibri" w:hAnsi="Calibri"/>
        </w:rPr>
        <w:t>identified</w:t>
      </w:r>
      <w:r w:rsidRPr="001E3BB3">
        <w:rPr>
          <w:rFonts w:ascii="Calibri" w:hAnsi="Calibri"/>
        </w:rPr>
        <w:t xml:space="preserve"> challenges will be </w:t>
      </w:r>
      <w:r>
        <w:rPr>
          <w:rFonts w:ascii="Calibri" w:hAnsi="Calibri"/>
        </w:rPr>
        <w:t>addressed, through further developing successful relationship building as part of a three phase process in which the priorities engage:</w:t>
      </w:r>
    </w:p>
    <w:p w:rsidR="00752307" w:rsidRDefault="00752307" w:rsidP="00752307">
      <w:pPr>
        <w:pStyle w:val="ListParagraph"/>
        <w:numPr>
          <w:ilvl w:val="0"/>
          <w:numId w:val="8"/>
        </w:numPr>
        <w:spacing w:before="100" w:beforeAutospacing="1" w:after="120"/>
        <w:rPr>
          <w:rFonts w:ascii="Calibri" w:hAnsi="Calibri"/>
          <w:szCs w:val="22"/>
        </w:rPr>
      </w:pPr>
      <w:r w:rsidRPr="003D3CEA">
        <w:rPr>
          <w:rFonts w:ascii="Calibri" w:hAnsi="Calibri"/>
          <w:szCs w:val="22"/>
        </w:rPr>
        <w:t>existing regional expertise and knowledge partnerships</w:t>
      </w:r>
      <w:r>
        <w:rPr>
          <w:rFonts w:ascii="Calibri" w:hAnsi="Calibri"/>
          <w:szCs w:val="22"/>
        </w:rPr>
        <w:t>;</w:t>
      </w:r>
    </w:p>
    <w:p w:rsidR="00752307" w:rsidRDefault="00752307" w:rsidP="00752307">
      <w:pPr>
        <w:pStyle w:val="ListParagraph"/>
        <w:numPr>
          <w:ilvl w:val="0"/>
          <w:numId w:val="8"/>
        </w:numPr>
        <w:spacing w:before="100" w:beforeAutospacing="1" w:after="120"/>
        <w:rPr>
          <w:rFonts w:ascii="Calibri" w:hAnsi="Calibri"/>
          <w:szCs w:val="22"/>
        </w:rPr>
      </w:pPr>
      <w:r>
        <w:rPr>
          <w:rFonts w:ascii="Calibri" w:hAnsi="Calibri"/>
          <w:szCs w:val="22"/>
        </w:rPr>
        <w:t>in the creation of emerging partnerships within identified areas of challenges and gaps;  and</w:t>
      </w:r>
    </w:p>
    <w:p w:rsidR="00752307" w:rsidRPr="00CD75B3" w:rsidRDefault="00752307" w:rsidP="00CD75B3">
      <w:pPr>
        <w:pStyle w:val="ListParagraph"/>
        <w:numPr>
          <w:ilvl w:val="0"/>
          <w:numId w:val="8"/>
        </w:numPr>
        <w:rPr>
          <w:sz w:val="20"/>
        </w:rPr>
      </w:pPr>
      <w:proofErr w:type="gramStart"/>
      <w:r w:rsidRPr="00CD75B3">
        <w:rPr>
          <w:rFonts w:ascii="Calibri" w:hAnsi="Calibri"/>
        </w:rPr>
        <w:t>with</w:t>
      </w:r>
      <w:proofErr w:type="gramEnd"/>
      <w:r w:rsidRPr="00CD75B3">
        <w:rPr>
          <w:rFonts w:ascii="Calibri" w:hAnsi="Calibri"/>
        </w:rPr>
        <w:t xml:space="preserve"> the community to assist in the creation of new and relevant partnerships within emerging regional areas of need.</w:t>
      </w:r>
    </w:p>
    <w:p w:rsidR="00752307" w:rsidRPr="00083C30" w:rsidRDefault="00752307" w:rsidP="00CD75B3">
      <w:pPr>
        <w:pStyle w:val="ListParagraph"/>
        <w:ind w:left="1440"/>
        <w:rPr>
          <w:rFonts w:ascii="Calibri" w:hAnsi="Calibri"/>
          <w:szCs w:val="22"/>
        </w:rPr>
      </w:pPr>
    </w:p>
    <w:p w:rsidR="00752307" w:rsidRDefault="00752307">
      <w:pPr>
        <w:rPr>
          <w:sz w:val="20"/>
          <w:szCs w:val="20"/>
        </w:rPr>
      </w:pPr>
      <w:r>
        <w:rPr>
          <w:sz w:val="20"/>
          <w:szCs w:val="20"/>
        </w:rPr>
        <w:br w:type="page"/>
      </w:r>
    </w:p>
    <w:p w:rsidR="00752307" w:rsidRPr="00407805" w:rsidRDefault="00752307" w:rsidP="00752307">
      <w:pPr>
        <w:rPr>
          <w:sz w:val="20"/>
          <w:szCs w:val="20"/>
        </w:rPr>
      </w:pPr>
    </w:p>
    <w:p w:rsidR="00752307" w:rsidRPr="00407805" w:rsidRDefault="002B7D39" w:rsidP="00752307">
      <w:pPr>
        <w:rPr>
          <w:sz w:val="20"/>
          <w:szCs w:val="20"/>
        </w:rPr>
      </w:pPr>
      <w:r>
        <w:rPr>
          <w:noProof/>
          <w:sz w:val="20"/>
          <w:szCs w:val="20"/>
          <w:lang w:eastAsia="zh-TW"/>
        </w:rPr>
        <w:pict>
          <v:rect id="_x0000_s1128" style="position:absolute;margin-left:559.35pt;margin-top:485.05pt;width:259.15pt;height:29.8pt;z-index:-251628544;mso-width-percent:400;mso-wrap-distance-left:14.4pt;mso-wrap-distance-top:14.4pt;mso-wrap-distance-right:14.4pt;mso-wrap-distance-bottom:7.2pt;mso-position-horizontal-relative:page;mso-position-vertical-relative:page;mso-width-percent:400;mso-width-relative:margin;mso-height-relative:margin" wrapcoords="0 0" o:allowincell="f" filled="f" stroked="f" strokecolor="#90b5e3 [1279]" strokeweight="6pt">
            <v:shadow on="t" color="#2f6ebe [2495]" opacity=".5" offset="6pt,6pt"/>
            <v:textbox style="mso-next-textbox:#_x0000_s1128;mso-fit-shape-to-text:t" inset="0,0,0,0">
              <w:txbxContent>
                <w:p w:rsidR="00752307" w:rsidRPr="00AE6B14" w:rsidRDefault="002B7D39" w:rsidP="00752307">
                  <w:pPr>
                    <w:numPr>
                      <w:ilvl w:val="0"/>
                      <w:numId w:val="3"/>
                    </w:numPr>
                    <w:spacing w:before="120" w:after="0" w:line="240" w:lineRule="auto"/>
                    <w:rPr>
                      <w:rFonts w:ascii="Arial" w:hAnsi="Arial" w:cs="Arial"/>
                      <w:color w:val="8DB3E2" w:themeColor="text2" w:themeTint="66"/>
                      <w:sz w:val="18"/>
                      <w:szCs w:val="18"/>
                    </w:rPr>
                  </w:pPr>
                  <w:r>
                    <w:fldChar w:fldCharType="begin"/>
                  </w:r>
                  <w:r>
                    <w:instrText>HYPERLINK "http://rti.cabinet.qld.gov.au/documents/2008/aug/urban%20land%20dev%20authority/Attachments/BH_MasterPlan.pdf"</w:instrText>
                  </w:r>
                  <w:r>
                    <w:fldChar w:fldCharType="separate"/>
                  </w:r>
                  <w:r w:rsidR="00752307" w:rsidRPr="00AE6B14">
                    <w:rPr>
                      <w:rStyle w:val="Hyperlink"/>
                      <w:rFonts w:ascii="Arial" w:hAnsi="Arial" w:cs="Arial"/>
                      <w:color w:val="8DB3E2" w:themeColor="text2" w:themeTint="66"/>
                      <w:sz w:val="18"/>
                      <w:szCs w:val="18"/>
                    </w:rPr>
                    <w:t>Draft Master Plan for the Bowen Hills Urban Development Area</w:t>
                  </w:r>
                  <w:r>
                    <w:fldChar w:fldCharType="end"/>
                  </w:r>
                </w:p>
              </w:txbxContent>
            </v:textbox>
            <w10:wrap type="square" anchorx="page" anchory="page"/>
          </v:rect>
        </w:pict>
      </w:r>
      <w:r>
        <w:rPr>
          <w:noProof/>
          <w:sz w:val="20"/>
          <w:szCs w:val="20"/>
          <w:lang w:eastAsia="zh-TW"/>
        </w:rPr>
        <w:pict>
          <v:rect id="_x0000_s1126" style="position:absolute;margin-left:290.2pt;margin-top:485.05pt;width:259.15pt;height:35.05pt;z-index:-251630592;mso-width-percent:400;mso-wrap-distance-left:14.4pt;mso-wrap-distance-top:14.4pt;mso-wrap-distance-right:14.4pt;mso-wrap-distance-bottom:7.2pt;mso-position-horizontal-relative:page;mso-position-vertical-relative:page;mso-width-percent:400;mso-width-relative:margin;mso-height-relative:margin" wrapcoords="0 0" o:allowincell="f" filled="f" stroked="f" strokecolor="#90b5e3 [1279]" strokeweight="6pt">
            <v:shadow on="t" color="#2f6ebe [2495]" opacity=".5" offset="6pt,6pt"/>
            <v:textbox style="mso-next-textbox:#_x0000_s1126;mso-fit-shape-to-text:t" inset="0,0,0,0">
              <w:txbxContent>
                <w:p w:rsidR="00752307" w:rsidRPr="000229BC" w:rsidRDefault="00752307" w:rsidP="00752307">
                  <w:pPr>
                    <w:pBdr>
                      <w:top w:val="single" w:sz="4" w:space="10" w:color="A7BFDE" w:themeColor="accent1" w:themeTint="7F"/>
                      <w:bottom w:val="single" w:sz="4" w:space="10" w:color="A7BFDE" w:themeColor="accent1" w:themeTint="7F"/>
                    </w:pBdr>
                    <w:spacing w:after="0"/>
                    <w:jc w:val="center"/>
                    <w:rPr>
                      <w:i/>
                      <w:iCs/>
                      <w:color w:val="4F81BD" w:themeColor="accent1"/>
                      <w:sz w:val="20"/>
                      <w:szCs w:val="20"/>
                    </w:rPr>
                  </w:pPr>
                  <w:r w:rsidRPr="000229BC">
                    <w:rPr>
                      <w:i/>
                      <w:iCs/>
                      <w:color w:val="4F81BD" w:themeColor="accent1"/>
                      <w:sz w:val="20"/>
                      <w:szCs w:val="20"/>
                    </w:rPr>
                    <w:t>http://www.ulda.qld.gov.au/_dbase_upl/FitzProposedDS.pdf</w:t>
                  </w:r>
                </w:p>
              </w:txbxContent>
            </v:textbox>
            <w10:wrap type="square" anchorx="page" anchory="page"/>
          </v:rect>
        </w:pict>
      </w:r>
      <w:r>
        <w:rPr>
          <w:noProof/>
          <w:sz w:val="20"/>
          <w:szCs w:val="20"/>
        </w:rPr>
        <w:pict>
          <v:shapetype id="_x0000_t202" coordsize="21600,21600" o:spt="202" path="m,l,21600r21600,l21600,xe">
            <v:stroke joinstyle="miter"/>
            <v:path gradientshapeok="t" o:connecttype="rect"/>
          </v:shapetype>
          <v:shape id="_x0000_s1125" type="#_x0000_t202" style="position:absolute;margin-left:16.9pt;margin-top:436.2pt;width:84.45pt;height:18pt;z-index:251684864">
            <v:textbox>
              <w:txbxContent>
                <w:p w:rsidR="00752307" w:rsidRPr="00210390" w:rsidRDefault="00752307" w:rsidP="00752307">
                  <w:pPr>
                    <w:rPr>
                      <w:sz w:val="18"/>
                      <w:szCs w:val="18"/>
                    </w:rPr>
                  </w:pPr>
                  <w:r w:rsidRPr="00210390">
                    <w:rPr>
                      <w:rFonts w:ascii="Calibri" w:hAnsi="Calibri"/>
                      <w:sz w:val="18"/>
                      <w:szCs w:val="18"/>
                    </w:rPr>
                    <w:t>Leighton Holdings</w:t>
                  </w:r>
                </w:p>
              </w:txbxContent>
            </v:textbox>
          </v:shape>
        </w:pict>
      </w:r>
      <w:r>
        <w:rPr>
          <w:noProof/>
          <w:sz w:val="20"/>
          <w:szCs w:val="20"/>
        </w:rPr>
        <w:pict>
          <v:oval id="_x0000_s1117" style="position:absolute;margin-left:364.7pt;margin-top:324.65pt;width:82.65pt;height:53.35pt;z-index:251676672">
            <v:textbox>
              <w:txbxContent>
                <w:p w:rsidR="00752307" w:rsidRDefault="00752307" w:rsidP="00752307">
                  <w:pPr>
                    <w:spacing w:after="0"/>
                    <w:rPr>
                      <w:sz w:val="16"/>
                      <w:szCs w:val="16"/>
                    </w:rPr>
                  </w:pPr>
                  <w:r>
                    <w:t>Fitzgibbon</w:t>
                  </w:r>
                </w:p>
                <w:p w:rsidR="00752307" w:rsidRPr="006D70AA" w:rsidRDefault="00752307" w:rsidP="00752307">
                  <w:pPr>
                    <w:rPr>
                      <w:sz w:val="16"/>
                      <w:szCs w:val="16"/>
                    </w:rPr>
                  </w:pPr>
                  <w:r>
                    <w:rPr>
                      <w:sz w:val="16"/>
                      <w:szCs w:val="16"/>
                    </w:rPr>
                    <w:t>Residential</w:t>
                  </w:r>
                </w:p>
              </w:txbxContent>
            </v:textbox>
          </v:oval>
        </w:pict>
      </w:r>
      <w:r>
        <w:rPr>
          <w:noProof/>
          <w:sz w:val="20"/>
          <w:szCs w:val="20"/>
        </w:rPr>
        <w:pict>
          <v:shapetype id="_x0000_t32" coordsize="21600,21600" o:spt="32" o:oned="t" path="m,l21600,21600e" filled="f">
            <v:path arrowok="t" fillok="f" o:connecttype="none"/>
            <o:lock v:ext="edit" shapetype="t"/>
          </v:shapetype>
          <v:shape id="_x0000_s1124" type="#_x0000_t32" style="position:absolute;margin-left:316pt;margin-top:301.35pt;width:38pt;height:23.3pt;flip:x;z-index:251683840" o:connectortype="straight"/>
        </w:pict>
      </w:r>
      <w:r>
        <w:rPr>
          <w:noProof/>
          <w:sz w:val="20"/>
          <w:szCs w:val="20"/>
        </w:rPr>
        <w:pict>
          <v:shape id="_x0000_s1111" type="#_x0000_t202" style="position:absolute;margin-left:354pt;margin-top:260.2pt;width:58.25pt;height:41.15pt;z-index:251670528">
            <v:textbox>
              <w:txbxContent>
                <w:p w:rsidR="00752307" w:rsidRDefault="00752307" w:rsidP="00752307">
                  <w:pPr>
                    <w:spacing w:after="0"/>
                    <w:rPr>
                      <w:sz w:val="16"/>
                      <w:szCs w:val="16"/>
                    </w:rPr>
                  </w:pPr>
                  <w:r>
                    <w:t>BAC</w:t>
                  </w:r>
                </w:p>
                <w:p w:rsidR="00752307" w:rsidRPr="006D70AA" w:rsidRDefault="00752307" w:rsidP="00752307">
                  <w:pPr>
                    <w:rPr>
                      <w:sz w:val="16"/>
                      <w:szCs w:val="16"/>
                    </w:rPr>
                  </w:pPr>
                  <w:r>
                    <w:rPr>
                      <w:sz w:val="16"/>
                      <w:szCs w:val="16"/>
                    </w:rPr>
                    <w:t>Employment</w:t>
                  </w:r>
                </w:p>
              </w:txbxContent>
            </v:textbox>
          </v:shape>
        </w:pict>
      </w:r>
      <w:r>
        <w:rPr>
          <w:noProof/>
          <w:sz w:val="20"/>
          <w:szCs w:val="20"/>
        </w:rPr>
        <w:pict>
          <v:shape id="_x0000_s1121" type="#_x0000_t32" style="position:absolute;margin-left:458pt;margin-top:286.85pt;width:25.3pt;height:53.15pt;z-index:251680768" o:connectortype="straight"/>
        </w:pict>
      </w:r>
      <w:r>
        <w:rPr>
          <w:noProof/>
          <w:sz w:val="20"/>
          <w:szCs w:val="20"/>
        </w:rPr>
        <w:pict>
          <v:oval id="_x0000_s1118" style="position:absolute;margin-left:458pt;margin-top:340pt;width:74pt;height:38pt;z-index:251677696">
            <v:textbox>
              <w:txbxContent>
                <w:p w:rsidR="00752307" w:rsidRDefault="00752307" w:rsidP="00752307">
                  <w:r>
                    <w:t>RNA</w:t>
                  </w:r>
                </w:p>
              </w:txbxContent>
            </v:textbox>
          </v:oval>
        </w:pict>
      </w:r>
      <w:r>
        <w:rPr>
          <w:noProof/>
          <w:sz w:val="20"/>
          <w:szCs w:val="20"/>
        </w:rPr>
        <w:pict>
          <v:oval id="_x0000_s1119" style="position:absolute;margin-left:536.65pt;margin-top:331.55pt;width:91.35pt;height:55.3pt;z-index:251678720">
            <v:textbox>
              <w:txbxContent>
                <w:p w:rsidR="00752307" w:rsidRDefault="00752307" w:rsidP="00752307">
                  <w:r>
                    <w:t xml:space="preserve">Hamilton </w:t>
                  </w:r>
                  <w:proofErr w:type="spellStart"/>
                  <w:r>
                    <w:t>Northshore</w:t>
                  </w:r>
                  <w:proofErr w:type="spellEnd"/>
                </w:p>
              </w:txbxContent>
            </v:textbox>
          </v:oval>
        </w:pict>
      </w:r>
      <w:r>
        <w:rPr>
          <w:noProof/>
          <w:sz w:val="20"/>
          <w:szCs w:val="20"/>
        </w:rPr>
        <w:pict>
          <v:shape id="_x0000_s1122" type="#_x0000_t32" style="position:absolute;margin-left:458pt;margin-top:286.85pt;width:124pt;height:44.7pt;z-index:251681792" o:connectortype="straight"/>
        </w:pict>
      </w:r>
      <w:r>
        <w:rPr>
          <w:noProof/>
          <w:sz w:val="20"/>
          <w:szCs w:val="20"/>
        </w:rPr>
        <w:pict>
          <v:shape id="_x0000_s1120" type="#_x0000_t32" style="position:absolute;margin-left:418.65pt;margin-top:286.85pt;width:39.35pt;height:37.8pt;flip:x;z-index:251679744" o:connectortype="straight"/>
        </w:pict>
      </w:r>
      <w:r>
        <w:rPr>
          <w:noProof/>
          <w:sz w:val="20"/>
          <w:szCs w:val="20"/>
        </w:rPr>
        <w:pict>
          <v:oval id="_x0000_s1123" style="position:absolute;margin-left:268.65pt;margin-top:324.65pt;width:78.7pt;height:45.3pt;z-index:251682816">
            <v:textbox>
              <w:txbxContent>
                <w:p w:rsidR="00752307" w:rsidRDefault="00752307" w:rsidP="00752307">
                  <w:r>
                    <w:t>Transport</w:t>
                  </w:r>
                </w:p>
              </w:txbxContent>
            </v:textbox>
          </v:oval>
        </w:pict>
      </w:r>
      <w:r>
        <w:rPr>
          <w:noProof/>
          <w:sz w:val="20"/>
          <w:szCs w:val="20"/>
        </w:rPr>
        <w:pict>
          <v:shape id="_x0000_s1112" type="#_x0000_t202" style="position:absolute;margin-left:436.65pt;margin-top:260.2pt;width:46.65pt;height:26.65pt;z-index:251671552">
            <v:textbox>
              <w:txbxContent>
                <w:p w:rsidR="00752307" w:rsidRDefault="00752307" w:rsidP="00752307">
                  <w:r>
                    <w:t>UDLA</w:t>
                  </w:r>
                </w:p>
              </w:txbxContent>
            </v:textbox>
          </v:shape>
        </w:pict>
      </w:r>
      <w:r>
        <w:rPr>
          <w:noProof/>
          <w:sz w:val="20"/>
          <w:szCs w:val="20"/>
        </w:rPr>
        <w:pict>
          <v:shape id="_x0000_s1110" type="#_x0000_t202" style="position:absolute;margin-left:242.65pt;margin-top:260.2pt;width:86.7pt;height:26.65pt;z-index:251669504">
            <v:textbox>
              <w:txbxContent>
                <w:p w:rsidR="00752307" w:rsidRDefault="00752307" w:rsidP="00752307">
                  <w:r>
                    <w:t>Kelvin Grove</w:t>
                  </w:r>
                </w:p>
              </w:txbxContent>
            </v:textbox>
          </v:shape>
        </w:pict>
      </w:r>
      <w:r>
        <w:rPr>
          <w:noProof/>
          <w:sz w:val="20"/>
          <w:szCs w:val="20"/>
        </w:rPr>
        <w:pict>
          <v:shape id="_x0000_s1109" type="#_x0000_t202" style="position:absolute;margin-left:148.9pt;margin-top:260.2pt;width:77.55pt;height:26.65pt;z-index:251668480">
            <v:textbox>
              <w:txbxContent>
                <w:p w:rsidR="00752307" w:rsidRDefault="00752307" w:rsidP="00752307">
                  <w:proofErr w:type="spellStart"/>
                  <w:r>
                    <w:t>Chermside</w:t>
                  </w:r>
                  <w:proofErr w:type="spellEnd"/>
                </w:p>
              </w:txbxContent>
            </v:textbox>
          </v:shape>
        </w:pict>
      </w:r>
      <w:r>
        <w:rPr>
          <w:noProof/>
          <w:sz w:val="20"/>
          <w:szCs w:val="20"/>
          <w:lang w:eastAsia="zh-TW"/>
        </w:rPr>
        <w:pict>
          <v:shape id="_x0000_s1104" type="#_x0000_t202" style="position:absolute;margin-left:52.5pt;margin-top:155pt;width:216.4pt;height:132.35pt;z-index:251663360;mso-position-horizontal-relative:page;mso-position-vertical-relative:page;mso-width-relative:margin;v-text-anchor:middle" o:allowincell="f" filled="f" strokecolor="#622423 [1605]" strokeweight="6pt">
            <v:stroke linestyle="thickThin"/>
            <v:textbox style="mso-next-textbox:#_x0000_s1104" inset="10.8pt,7.2pt,10.8pt,7.2pt">
              <w:txbxContent>
                <w:p w:rsidR="00752307" w:rsidRPr="00051EFB" w:rsidRDefault="00752307" w:rsidP="00752307">
                  <w:pPr>
                    <w:pStyle w:val="ListParagraph"/>
                    <w:numPr>
                      <w:ilvl w:val="0"/>
                      <w:numId w:val="1"/>
                    </w:numPr>
                    <w:ind w:left="357" w:hanging="357"/>
                    <w:rPr>
                      <w:rFonts w:ascii="Calibri" w:hAnsi="Calibri"/>
                      <w:sz w:val="20"/>
                    </w:rPr>
                  </w:pPr>
                  <w:r w:rsidRPr="00051EFB">
                    <w:rPr>
                      <w:rFonts w:ascii="Calibri" w:hAnsi="Calibri"/>
                      <w:sz w:val="20"/>
                    </w:rPr>
                    <w:t xml:space="preserve">The region has a high dependence on Small Medium Enterprises (SME) clustered around Moggill and Virginia/Banyo.  The balance of the region includes the CBD which hosts a variety of national and state head offices. As a result the region is a host employer location with high movement into and out of the region for work and education; </w:t>
                  </w:r>
                </w:p>
              </w:txbxContent>
            </v:textbox>
            <w10:wrap type="square" anchorx="page" anchory="page"/>
          </v:shape>
        </w:pict>
      </w:r>
      <w:r>
        <w:rPr>
          <w:noProof/>
          <w:sz w:val="20"/>
          <w:szCs w:val="20"/>
          <w:lang w:eastAsia="zh-TW"/>
        </w:rPr>
        <w:pict>
          <v:shape id="_x0000_s1101" type="#_x0000_t202" style="position:absolute;margin-left:302.9pt;margin-top:155pt;width:205.75pt;height:109pt;z-index:251660288;mso-position-horizontal-relative:page;mso-position-vertical-relative:page;mso-width-relative:margin;v-text-anchor:middle" o:allowincell="f" filled="f" strokecolor="#622423 [1605]" strokeweight="6pt">
            <v:stroke linestyle="thickThin"/>
            <v:textbox style="mso-next-textbox:#_x0000_s1101" inset="10.8pt,7.2pt,10.8pt,7.2pt">
              <w:txbxContent>
                <w:p w:rsidR="00752307" w:rsidRPr="00215007" w:rsidRDefault="00752307" w:rsidP="00752307">
                  <w:pPr>
                    <w:pStyle w:val="ListParagraph"/>
                    <w:numPr>
                      <w:ilvl w:val="0"/>
                      <w:numId w:val="1"/>
                    </w:numPr>
                    <w:rPr>
                      <w:rFonts w:ascii="Calibri" w:hAnsi="Calibri"/>
                      <w:sz w:val="20"/>
                    </w:rPr>
                  </w:pPr>
                  <w:r w:rsidRPr="00215007">
                    <w:rPr>
                      <w:rFonts w:ascii="Calibri" w:hAnsi="Calibri"/>
                      <w:sz w:val="20"/>
                    </w:rPr>
                    <w:t xml:space="preserve">A number of integrated employment and residential Hubs are emerging at Chermside, Kelvin Grove, Brisbane Airport and the Urban Development Land Authority (UDLA) sponsored integrated developments at Fitzgibbon, RNA  and Hamilton </w:t>
                  </w:r>
                  <w:proofErr w:type="spellStart"/>
                  <w:r w:rsidRPr="00215007">
                    <w:rPr>
                      <w:rFonts w:ascii="Calibri" w:hAnsi="Calibri"/>
                      <w:sz w:val="20"/>
                    </w:rPr>
                    <w:t>Northshore</w:t>
                  </w:r>
                  <w:proofErr w:type="spellEnd"/>
                  <w:r w:rsidRPr="00215007">
                    <w:rPr>
                      <w:rFonts w:ascii="Calibri" w:hAnsi="Calibri"/>
                      <w:sz w:val="20"/>
                    </w:rPr>
                    <w:t xml:space="preserve">; </w:t>
                  </w:r>
                </w:p>
              </w:txbxContent>
            </v:textbox>
            <w10:wrap type="square" anchorx="page" anchory="page"/>
          </v:shape>
        </w:pict>
      </w:r>
      <w:r>
        <w:rPr>
          <w:noProof/>
          <w:sz w:val="20"/>
          <w:szCs w:val="20"/>
          <w:lang w:eastAsia="zh-TW"/>
        </w:rPr>
        <w:pict>
          <v:shape id="_x0000_s1103" type="#_x0000_t202" style="position:absolute;margin-left:534.3pt;margin-top:155pt;width:190.35pt;height:109pt;z-index:251662336;mso-position-horizontal-relative:page;mso-position-vertical-relative:page;mso-width-relative:margin;v-text-anchor:middle" o:allowincell="f" filled="f" strokecolor="#622423 [1605]" strokeweight="6pt">
            <v:stroke linestyle="thickThin"/>
            <v:textbox style="mso-next-textbox:#_x0000_s1103" inset="10.8pt,7.2pt,10.8pt,7.2pt">
              <w:txbxContent>
                <w:p w:rsidR="00752307" w:rsidRPr="00215007" w:rsidRDefault="00752307" w:rsidP="00752307">
                  <w:pPr>
                    <w:pStyle w:val="ListParagraph"/>
                    <w:numPr>
                      <w:ilvl w:val="0"/>
                      <w:numId w:val="1"/>
                    </w:numPr>
                    <w:rPr>
                      <w:rFonts w:ascii="Calibri" w:hAnsi="Calibri"/>
                      <w:sz w:val="20"/>
                    </w:rPr>
                  </w:pPr>
                  <w:r w:rsidRPr="00215007">
                    <w:rPr>
                      <w:rFonts w:ascii="Calibri" w:hAnsi="Calibri"/>
                      <w:sz w:val="20"/>
                    </w:rPr>
                    <w:t xml:space="preserve">The region has grown significantly in recent years with a corresponding increase in school age children as well as a daily influx of school students who live outside the region;  </w:t>
                  </w:r>
                </w:p>
              </w:txbxContent>
            </v:textbox>
            <w10:wrap type="square" anchorx="page" anchory="page"/>
          </v:shape>
        </w:pict>
      </w:r>
      <w:r>
        <w:rPr>
          <w:noProof/>
          <w:sz w:val="20"/>
          <w:szCs w:val="20"/>
        </w:rPr>
        <w:pict>
          <v:shape id="_x0000_s1105" type="#_x0000_t202" style="position:absolute;margin-left:230.9pt;margin-top:3.6pt;width:198.7pt;height:25.05pt;z-index:251664384" fillcolor="#4f81bd [3204]" strokecolor="#f2f2f2 [3041]" strokeweight="3pt">
            <v:shadow on="t" type="perspective" color="#243f60 [1604]" opacity=".5" offset="1pt" offset2="-1pt"/>
            <v:textbox>
              <w:txbxContent>
                <w:p w:rsidR="00752307" w:rsidRPr="00051EFB" w:rsidRDefault="00752307" w:rsidP="00752307">
                  <w:pPr>
                    <w:pStyle w:val="ListParagraph"/>
                    <w:ind w:left="927" w:hanging="927"/>
                    <w:rPr>
                      <w:rFonts w:ascii="Calibri" w:hAnsi="Calibri"/>
                      <w:b/>
                      <w:color w:val="FFFFFF" w:themeColor="background1"/>
                      <w:szCs w:val="22"/>
                    </w:rPr>
                  </w:pPr>
                  <w:r w:rsidRPr="00051EFB">
                    <w:rPr>
                      <w:rFonts w:ascii="Calibri" w:hAnsi="Calibri"/>
                      <w:b/>
                      <w:color w:val="FFFFFF" w:themeColor="background1"/>
                      <w:szCs w:val="22"/>
                    </w:rPr>
                    <w:t xml:space="preserve">Challenges associated with this priority include:  </w:t>
                  </w:r>
                </w:p>
              </w:txbxContent>
            </v:textbox>
          </v:shape>
        </w:pict>
      </w:r>
      <w:r>
        <w:rPr>
          <w:noProof/>
          <w:sz w:val="20"/>
          <w:szCs w:val="20"/>
        </w:rPr>
        <w:pict>
          <v:shape id="_x0000_s1102" type="#_x0000_t202" style="position:absolute;margin-left:128.3pt;margin-top:-52.2pt;width:433.05pt;height:42.8pt;z-index:251661312" fillcolor="black [3200]" strokecolor="#f2f2f2 [3041]" strokeweight="3pt">
            <v:shadow on="t" type="perspective" color="#7f7f7f [1601]" opacity=".5" offset="1pt" offset2="-1pt"/>
            <v:textbox>
              <w:txbxContent>
                <w:p w:rsidR="00752307" w:rsidRPr="00556B74" w:rsidRDefault="00752307" w:rsidP="00752307">
                  <w:pPr>
                    <w:shd w:val="clear" w:color="auto" w:fill="0070C0"/>
                    <w:rPr>
                      <w:b/>
                      <w:color w:val="FFFFFF" w:themeColor="background1"/>
                    </w:rPr>
                  </w:pPr>
                  <w:proofErr w:type="gramStart"/>
                  <w:r w:rsidRPr="00556B74">
                    <w:rPr>
                      <w:rFonts w:ascii="Calibri" w:hAnsi="Calibri"/>
                      <w:b/>
                      <w:color w:val="FFFFFF" w:themeColor="background1"/>
                    </w:rPr>
                    <w:t>Access existing networks and relationships within the region and across the stakeholder groupings to create a shared regional vision and progress youth outcome collaboratively.</w:t>
                  </w:r>
                  <w:proofErr w:type="gramEnd"/>
                </w:p>
              </w:txbxContent>
            </v:textbox>
          </v:shape>
        </w:pict>
      </w:r>
    </w:p>
    <w:p w:rsidR="00752307" w:rsidRPr="00407805" w:rsidRDefault="002B7D39" w:rsidP="00752307">
      <w:pPr>
        <w:rPr>
          <w:sz w:val="20"/>
          <w:szCs w:val="20"/>
        </w:rPr>
      </w:pPr>
      <w:r>
        <w:rPr>
          <w:noProof/>
          <w:sz w:val="20"/>
          <w:szCs w:val="20"/>
        </w:rPr>
        <w:pict>
          <v:shape id="_x0000_s1108" type="#_x0000_t32" style="position:absolute;margin-left:325.35pt;margin-top:4.6pt;width:224.65pt;height:26.65pt;z-index:251667456" o:connectortype="straight"/>
        </w:pict>
      </w:r>
      <w:r>
        <w:rPr>
          <w:noProof/>
          <w:sz w:val="20"/>
          <w:szCs w:val="20"/>
        </w:rPr>
        <w:pict>
          <v:shape id="_x0000_s1107" type="#_x0000_t32" style="position:absolute;margin-left:325.35pt;margin-top:4.6pt;width:0;height:26.65pt;z-index:251666432" o:connectortype="straight"/>
        </w:pict>
      </w:r>
      <w:r>
        <w:rPr>
          <w:noProof/>
          <w:sz w:val="20"/>
          <w:szCs w:val="20"/>
        </w:rPr>
        <w:pict>
          <v:shape id="_x0000_s1106" type="#_x0000_t32" style="position:absolute;margin-left:80pt;margin-top:4.6pt;width:245.35pt;height:26.65pt;flip:x;z-index:251665408" o:connectortype="straight"/>
        </w:pict>
      </w:r>
    </w:p>
    <w:p w:rsidR="00752307" w:rsidRPr="00407805" w:rsidRDefault="002B7D39" w:rsidP="00752307">
      <w:pPr>
        <w:rPr>
          <w:sz w:val="20"/>
          <w:szCs w:val="20"/>
        </w:rPr>
      </w:pPr>
      <w:r>
        <w:rPr>
          <w:noProof/>
          <w:sz w:val="20"/>
          <w:szCs w:val="20"/>
        </w:rPr>
        <w:pict>
          <v:shape id="_x0000_s1116" type="#_x0000_t32" style="position:absolute;margin-left:116.45pt;margin-top:123.25pt;width:136.95pt;height:88.9pt;z-index:251675648" o:connectortype="straight"/>
        </w:pict>
      </w:r>
      <w:r>
        <w:rPr>
          <w:noProof/>
          <w:sz w:val="20"/>
          <w:szCs w:val="20"/>
        </w:rPr>
        <w:pict>
          <v:shape id="_x0000_s1115" type="#_x0000_t32" style="position:absolute;margin-left:116.45pt;margin-top:123.25pt;width:60pt;height:88.9pt;z-index:251674624" o:connectortype="straight"/>
        </w:pict>
      </w:r>
      <w:r>
        <w:rPr>
          <w:noProof/>
          <w:sz w:val="20"/>
          <w:szCs w:val="20"/>
        </w:rPr>
        <w:pict>
          <v:shape id="_x0000_s1114" type="#_x0000_t32" style="position:absolute;margin-left:85.1pt;margin-top:119.9pt;width:31.35pt;height:92.25pt;flip:x;z-index:251673600" o:connectortype="straight"/>
        </w:pict>
      </w:r>
      <w:r>
        <w:rPr>
          <w:noProof/>
          <w:sz w:val="20"/>
          <w:szCs w:val="20"/>
        </w:rPr>
        <w:pict>
          <v:shape id="_x0000_s1113" type="#_x0000_t32" style="position:absolute;margin-left:-17.55pt;margin-top:119.9pt;width:138pt;height:92.25pt;flip:x;z-index:251672576" o:connectortype="straight"/>
        </w:pict>
      </w:r>
    </w:p>
    <w:p w:rsidR="00752307" w:rsidRPr="00407805" w:rsidRDefault="00752307" w:rsidP="00752307">
      <w:pPr>
        <w:rPr>
          <w:sz w:val="20"/>
          <w:szCs w:val="20"/>
        </w:rPr>
      </w:pPr>
    </w:p>
    <w:p w:rsidR="00752307" w:rsidRPr="00407805" w:rsidRDefault="00752307" w:rsidP="00752307">
      <w:pPr>
        <w:rPr>
          <w:sz w:val="20"/>
          <w:szCs w:val="20"/>
        </w:rPr>
      </w:pPr>
    </w:p>
    <w:p w:rsidR="00752307" w:rsidRPr="00407805" w:rsidRDefault="00752307" w:rsidP="00752307">
      <w:pPr>
        <w:rPr>
          <w:sz w:val="20"/>
          <w:szCs w:val="20"/>
        </w:rPr>
      </w:pPr>
    </w:p>
    <w:p w:rsidR="00752307" w:rsidRPr="00407805" w:rsidRDefault="002B7D39" w:rsidP="00752307">
      <w:pPr>
        <w:rPr>
          <w:sz w:val="20"/>
          <w:szCs w:val="20"/>
        </w:rPr>
      </w:pPr>
      <w:r>
        <w:rPr>
          <w:noProof/>
          <w:sz w:val="20"/>
          <w:szCs w:val="20"/>
        </w:rPr>
        <w:pict>
          <v:shape id="_x0000_s1131" type="#_x0000_t32" style="position:absolute;margin-left:101.35pt;margin-top:19.75pt;width:84pt;height:20.65pt;flip:x;z-index:251691008" o:connectortype="straight"/>
        </w:pict>
      </w:r>
    </w:p>
    <w:p w:rsidR="00752307" w:rsidRPr="00407805" w:rsidRDefault="002B7D39" w:rsidP="00752307">
      <w:pPr>
        <w:rPr>
          <w:sz w:val="20"/>
          <w:szCs w:val="20"/>
        </w:rPr>
      </w:pPr>
      <w:r>
        <w:rPr>
          <w:noProof/>
          <w:sz w:val="20"/>
          <w:szCs w:val="20"/>
          <w:lang w:eastAsia="zh-TW"/>
        </w:rPr>
        <w:pict>
          <v:rect id="_x0000_s1130" style="position:absolute;margin-left:39.25pt;margin-top:403.55pt;width:275.4pt;height:46.25pt;z-index:-251626496;mso-wrap-distance-left:14.4pt;mso-wrap-distance-top:14.4pt;mso-wrap-distance-right:14.4pt;mso-wrap-distance-bottom:7.2pt;mso-position-horizontal-relative:page;mso-position-vertical-relative:page;mso-width-relative:margin;mso-height-relative:margin" wrapcoords="0 0" o:allowincell="f" filled="f" stroked="f" strokecolor="#90b5e3 [1279]" strokeweight="6pt">
            <v:shadow on="t" color="#2f6ebe [2495]" opacity=".5" offset="6pt,6pt"/>
            <v:textbox style="mso-next-textbox:#_x0000_s1130;mso-fit-shape-to-text:t" inset="0,0,0,0">
              <w:txbxContent>
                <w:p w:rsidR="00752307" w:rsidRPr="004A6E04" w:rsidRDefault="00752307" w:rsidP="00752307">
                  <w:pPr>
                    <w:pBdr>
                      <w:top w:val="single" w:sz="4" w:space="10" w:color="A7BFDE" w:themeColor="accent1" w:themeTint="7F"/>
                      <w:bottom w:val="single" w:sz="4" w:space="10" w:color="A7BFDE" w:themeColor="accent1" w:themeTint="7F"/>
                    </w:pBdr>
                    <w:spacing w:after="0"/>
                    <w:jc w:val="center"/>
                    <w:rPr>
                      <w:i/>
                      <w:iCs/>
                      <w:color w:val="4F81BD" w:themeColor="accent1"/>
                      <w:sz w:val="18"/>
                      <w:szCs w:val="18"/>
                    </w:rPr>
                  </w:pPr>
                  <w:r w:rsidRPr="004A6E04">
                    <w:rPr>
                      <w:i/>
                      <w:iCs/>
                      <w:color w:val="4F81BD" w:themeColor="accent1"/>
                      <w:sz w:val="18"/>
                      <w:szCs w:val="18"/>
                    </w:rPr>
                    <w:t>http://www.brisbane.qld.gov.au/bccwr/lib506/20081112_chermsidevision.pdf</w:t>
                  </w:r>
                </w:p>
              </w:txbxContent>
            </v:textbox>
            <w10:wrap type="square" anchorx="page" anchory="page"/>
          </v:rect>
        </w:pict>
      </w:r>
    </w:p>
    <w:p w:rsidR="00752307" w:rsidRPr="00407805" w:rsidRDefault="00752307" w:rsidP="00752307">
      <w:pPr>
        <w:rPr>
          <w:sz w:val="20"/>
          <w:szCs w:val="20"/>
        </w:rPr>
      </w:pPr>
    </w:p>
    <w:p w:rsidR="00752307" w:rsidRPr="00407805" w:rsidRDefault="00752307" w:rsidP="00752307">
      <w:pPr>
        <w:rPr>
          <w:sz w:val="20"/>
          <w:szCs w:val="20"/>
        </w:rPr>
      </w:pPr>
    </w:p>
    <w:p w:rsidR="00752307" w:rsidRPr="00407805" w:rsidRDefault="002B7D39" w:rsidP="00752307">
      <w:pPr>
        <w:rPr>
          <w:sz w:val="20"/>
          <w:szCs w:val="20"/>
        </w:rPr>
      </w:pPr>
      <w:r>
        <w:rPr>
          <w:noProof/>
          <w:sz w:val="20"/>
          <w:szCs w:val="20"/>
        </w:rPr>
        <w:pict>
          <v:shape id="_x0000_s1129" type="#_x0000_t32" style="position:absolute;margin-left:499.35pt;margin-top:14.75pt;width:106pt;height:19.8pt;z-index:251688960" o:connectortype="straight"/>
        </w:pict>
      </w:r>
      <w:r>
        <w:rPr>
          <w:noProof/>
          <w:sz w:val="20"/>
          <w:szCs w:val="20"/>
        </w:rPr>
        <w:pict>
          <v:shape id="_x0000_s1127" type="#_x0000_t32" style="position:absolute;margin-left:354pt;margin-top:14.75pt;width:49.35pt;height:11pt;flip:x;z-index:251686912" o:connectortype="straight"/>
        </w:pict>
      </w:r>
    </w:p>
    <w:p w:rsidR="00752307" w:rsidRPr="00407805" w:rsidRDefault="00752307" w:rsidP="00752307">
      <w:pPr>
        <w:rPr>
          <w:sz w:val="20"/>
          <w:szCs w:val="20"/>
        </w:rPr>
      </w:pPr>
      <w:r w:rsidRPr="00407805">
        <w:rPr>
          <w:sz w:val="20"/>
          <w:szCs w:val="20"/>
        </w:rPr>
        <w:br w:type="page"/>
      </w:r>
    </w:p>
    <w:p w:rsidR="00752307" w:rsidRPr="00407805" w:rsidRDefault="00752307" w:rsidP="00752307">
      <w:pPr>
        <w:rPr>
          <w:sz w:val="20"/>
          <w:szCs w:val="20"/>
        </w:rPr>
      </w:pPr>
    </w:p>
    <w:p w:rsidR="00752307" w:rsidRPr="00407805" w:rsidRDefault="002B7D39" w:rsidP="00752307">
      <w:pPr>
        <w:rPr>
          <w:sz w:val="20"/>
          <w:szCs w:val="20"/>
        </w:rPr>
      </w:pPr>
      <w:r>
        <w:rPr>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2" type="#_x0000_t87" style="position:absolute;margin-left:339.2pt;margin-top:-108.7pt;width:22.7pt;height:243.8pt;rotation:-90;z-index:251692032" adj=",11790"/>
        </w:pict>
      </w:r>
    </w:p>
    <w:p w:rsidR="00752307" w:rsidRPr="00407805" w:rsidRDefault="002B7D39" w:rsidP="00752307">
      <w:pPr>
        <w:rPr>
          <w:sz w:val="20"/>
          <w:szCs w:val="20"/>
        </w:rPr>
      </w:pPr>
      <w:r>
        <w:rPr>
          <w:noProof/>
          <w:sz w:val="20"/>
          <w:szCs w:val="20"/>
          <w:lang w:eastAsia="zh-TW"/>
        </w:rPr>
        <w:pict>
          <v:rect id="_x0000_s1133" style="position:absolute;margin-left:307.75pt;margin-top:136.7pt;width:259.15pt;height:40.65pt;z-index:-251623424;mso-width-percent:400;mso-wrap-distance-left:14.4pt;mso-wrap-distance-top:14.4pt;mso-wrap-distance-right:14.4pt;mso-wrap-distance-bottom:7.2pt;mso-position-horizontal-relative:page;mso-position-vertical-relative:page;mso-width-percent:400;mso-width-relative:margin;mso-height-relative:margin" wrapcoords="0 0" o:allowincell="f" filled="f" stroked="f" strokecolor="#90b5e3 [1279]" strokeweight="6pt">
            <v:shadow on="t" color="#2f6ebe [2495]" opacity=".5" offset="6pt,6pt"/>
            <v:textbox style="mso-next-textbox:#_x0000_s1133;mso-fit-shape-to-text:t" inset="0,0,0,0">
              <w:txbxContent>
                <w:p w:rsidR="00752307" w:rsidRDefault="00752307" w:rsidP="00752307">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r>
                    <w:rPr>
                      <w:i/>
                      <w:iCs/>
                      <w:color w:val="4F81BD" w:themeColor="accent1"/>
                      <w:sz w:val="28"/>
                      <w:szCs w:val="28"/>
                    </w:rPr>
                    <w:t>Population Pressure</w:t>
                  </w:r>
                </w:p>
              </w:txbxContent>
            </v:textbox>
            <w10:wrap type="square" anchorx="page" anchory="page"/>
          </v:rect>
        </w:pict>
      </w:r>
    </w:p>
    <w:p w:rsidR="00752307" w:rsidRPr="00407805" w:rsidRDefault="00752307" w:rsidP="00752307">
      <w:pPr>
        <w:rPr>
          <w:sz w:val="20"/>
          <w:szCs w:val="20"/>
        </w:rPr>
      </w:pPr>
    </w:p>
    <w:p w:rsidR="00752307" w:rsidRPr="00407805" w:rsidRDefault="002B7D39" w:rsidP="00752307">
      <w:pPr>
        <w:rPr>
          <w:sz w:val="20"/>
          <w:szCs w:val="20"/>
        </w:rPr>
      </w:pPr>
      <w:r>
        <w:rPr>
          <w:noProof/>
          <w:sz w:val="20"/>
          <w:szCs w:val="20"/>
        </w:rPr>
        <w:pict>
          <v:shape id="_x0000_s1139" type="#_x0000_t32" style="position:absolute;margin-left:354.65pt;margin-top:3.6pt;width:162.7pt;height:80.25pt;z-index:251699200" o:connectortype="straight"/>
        </w:pict>
      </w:r>
      <w:r>
        <w:rPr>
          <w:noProof/>
          <w:sz w:val="20"/>
          <w:szCs w:val="20"/>
        </w:rPr>
        <w:pict>
          <v:shape id="_x0000_s1135" type="#_x0000_t32" style="position:absolute;margin-left:118.65pt;margin-top:3.6pt;width:236pt;height:52.25pt;flip:x;z-index:251695104" o:connectortype="straight"/>
        </w:pict>
      </w:r>
      <w:r>
        <w:rPr>
          <w:noProof/>
          <w:sz w:val="20"/>
          <w:szCs w:val="20"/>
        </w:rPr>
        <w:pict>
          <v:shape id="_x0000_s1137" type="#_x0000_t32" style="position:absolute;margin-left:323.35pt;margin-top:3.6pt;width:31.3pt;height:111.1pt;flip:x;z-index:251697152" o:connectortype="straight"/>
        </w:pict>
      </w:r>
    </w:p>
    <w:p w:rsidR="00752307" w:rsidRPr="00407805" w:rsidRDefault="00752307" w:rsidP="00752307">
      <w:pPr>
        <w:rPr>
          <w:sz w:val="20"/>
          <w:szCs w:val="20"/>
        </w:rPr>
      </w:pPr>
    </w:p>
    <w:p w:rsidR="00752307" w:rsidRPr="00407805" w:rsidRDefault="002B7D39" w:rsidP="00752307">
      <w:pPr>
        <w:rPr>
          <w:sz w:val="20"/>
          <w:szCs w:val="20"/>
        </w:rPr>
      </w:pPr>
      <w:r>
        <w:rPr>
          <w:noProof/>
          <w:sz w:val="20"/>
          <w:szCs w:val="20"/>
          <w:lang w:eastAsia="zh-TW"/>
        </w:rPr>
        <w:pict>
          <v:rect id="_x0000_s1136" style="position:absolute;margin-left:521.45pt;margin-top:257.6pt;width:152.95pt;height:35.05pt;z-index:-251620352;mso-wrap-distance-left:14.4pt;mso-wrap-distance-top:14.4pt;mso-wrap-distance-right:14.4pt;mso-wrap-distance-bottom:7.2pt;mso-position-horizontal-relative:page;mso-position-vertical-relative:page;mso-width-relative:margin;mso-height-relative:margin" wrapcoords="0 0" o:allowincell="f" filled="f" stroked="f" strokecolor="#90b5e3 [1279]" strokeweight="6pt">
            <v:shadow on="t" color="#2f6ebe [2495]" opacity=".5" offset="6pt,6pt"/>
            <v:textbox style="mso-next-textbox:#_x0000_s1136;mso-fit-shape-to-text:t" inset="0,0,0,0">
              <w:txbxContent>
                <w:p w:rsidR="00752307" w:rsidRPr="00C278CB" w:rsidRDefault="00752307" w:rsidP="00752307">
                  <w:pPr>
                    <w:pBdr>
                      <w:top w:val="single" w:sz="4" w:space="10" w:color="A7BFDE" w:themeColor="accent1" w:themeTint="7F"/>
                      <w:bottom w:val="single" w:sz="4" w:space="10" w:color="A7BFDE" w:themeColor="accent1" w:themeTint="7F"/>
                    </w:pBdr>
                    <w:spacing w:after="0"/>
                    <w:jc w:val="center"/>
                    <w:rPr>
                      <w:i/>
                      <w:iCs/>
                      <w:color w:val="4F81BD" w:themeColor="accent1"/>
                      <w:sz w:val="20"/>
                      <w:szCs w:val="20"/>
                    </w:rPr>
                  </w:pPr>
                  <w:r w:rsidRPr="00C278CB">
                    <w:rPr>
                      <w:i/>
                      <w:iCs/>
                      <w:color w:val="4F81BD" w:themeColor="accent1"/>
                      <w:sz w:val="20"/>
                      <w:szCs w:val="20"/>
                    </w:rPr>
                    <w:t>Pathways Options</w:t>
                  </w:r>
                </w:p>
              </w:txbxContent>
            </v:textbox>
            <w10:wrap type="square" anchorx="page" anchory="page"/>
          </v:rect>
        </w:pict>
      </w:r>
      <w:r>
        <w:rPr>
          <w:noProof/>
          <w:sz w:val="20"/>
          <w:szCs w:val="20"/>
          <w:lang w:eastAsia="zh-TW"/>
        </w:rPr>
        <w:pict>
          <v:rect id="_x0000_s1134" style="position:absolute;margin-left:122.4pt;margin-top:229.6pt;width:126.25pt;height:35.05pt;z-index:-251622400;mso-wrap-distance-left:14.4pt;mso-wrap-distance-top:14.4pt;mso-wrap-distance-right:14.4pt;mso-wrap-distance-bottom:7.2pt;mso-position-horizontal-relative:page;mso-position-vertical-relative:page;mso-width-relative:margin;mso-height-relative:margin" wrapcoords="0 0" o:allowincell="f" filled="f" stroked="f" strokecolor="#90b5e3 [1279]" strokeweight="6pt">
            <v:shadow on="t" color="#2f6ebe [2495]" opacity=".5" offset="6pt,6pt"/>
            <v:textbox style="mso-next-textbox:#_x0000_s1134;mso-fit-shape-to-text:t" inset="0,0,0,0">
              <w:txbxContent>
                <w:p w:rsidR="00752307" w:rsidRPr="00C278CB" w:rsidRDefault="00752307" w:rsidP="00752307">
                  <w:pPr>
                    <w:pBdr>
                      <w:top w:val="single" w:sz="4" w:space="10" w:color="A7BFDE" w:themeColor="accent1" w:themeTint="7F"/>
                      <w:bottom w:val="single" w:sz="4" w:space="10" w:color="A7BFDE" w:themeColor="accent1" w:themeTint="7F"/>
                    </w:pBdr>
                    <w:spacing w:after="0"/>
                    <w:jc w:val="center"/>
                    <w:rPr>
                      <w:i/>
                      <w:iCs/>
                      <w:color w:val="4F81BD" w:themeColor="accent1"/>
                      <w:sz w:val="20"/>
                      <w:szCs w:val="20"/>
                    </w:rPr>
                  </w:pPr>
                  <w:r w:rsidRPr="00C278CB">
                    <w:rPr>
                      <w:i/>
                      <w:iCs/>
                      <w:color w:val="4F81BD" w:themeColor="accent1"/>
                      <w:sz w:val="20"/>
                      <w:szCs w:val="20"/>
                    </w:rPr>
                    <w:t>Education R</w:t>
                  </w:r>
                  <w:r>
                    <w:rPr>
                      <w:i/>
                      <w:iCs/>
                      <w:color w:val="4F81BD" w:themeColor="accent1"/>
                      <w:sz w:val="20"/>
                      <w:szCs w:val="20"/>
                    </w:rPr>
                    <w:t>esources</w:t>
                  </w:r>
                </w:p>
              </w:txbxContent>
            </v:textbox>
            <w10:wrap type="square" anchorx="page" anchory="page"/>
          </v:rect>
        </w:pict>
      </w:r>
    </w:p>
    <w:p w:rsidR="00752307" w:rsidRPr="00407805" w:rsidRDefault="00752307" w:rsidP="00752307">
      <w:pPr>
        <w:rPr>
          <w:sz w:val="20"/>
          <w:szCs w:val="20"/>
        </w:rPr>
      </w:pPr>
    </w:p>
    <w:p w:rsidR="00752307" w:rsidRPr="00407805" w:rsidRDefault="002B7D39" w:rsidP="00752307">
      <w:pPr>
        <w:rPr>
          <w:sz w:val="20"/>
          <w:szCs w:val="20"/>
        </w:rPr>
      </w:pPr>
      <w:r>
        <w:rPr>
          <w:noProof/>
          <w:sz w:val="20"/>
          <w:szCs w:val="20"/>
        </w:rPr>
        <w:pict>
          <v:shape id="_x0000_s1138" type="#_x0000_t202" style="position:absolute;margin-left:256pt;margin-top:1.1pt;width:182.65pt;height:27.35pt;z-index:251698176" strokecolor="white [3212]">
            <v:textbox>
              <w:txbxContent>
                <w:p w:rsidR="00752307" w:rsidRDefault="00752307" w:rsidP="00752307">
                  <w:r>
                    <w:t>Youth Engagement/disengagement</w:t>
                  </w:r>
                </w:p>
              </w:txbxContent>
            </v:textbox>
          </v:shape>
        </w:pict>
      </w:r>
    </w:p>
    <w:p w:rsidR="00752307" w:rsidRPr="00407805" w:rsidRDefault="00752307" w:rsidP="00752307">
      <w:pPr>
        <w:rPr>
          <w:sz w:val="20"/>
          <w:szCs w:val="20"/>
        </w:rPr>
      </w:pPr>
    </w:p>
    <w:p w:rsidR="00752307" w:rsidRPr="00407805" w:rsidRDefault="00752307" w:rsidP="00752307">
      <w:pPr>
        <w:rPr>
          <w:sz w:val="20"/>
          <w:szCs w:val="20"/>
        </w:rPr>
      </w:pPr>
    </w:p>
    <w:p w:rsidR="00752307" w:rsidRDefault="00752307">
      <w:pPr>
        <w:rPr>
          <w:sz w:val="20"/>
          <w:szCs w:val="20"/>
        </w:rPr>
      </w:pPr>
    </w:p>
    <w:p w:rsidR="00752307" w:rsidRDefault="00752307">
      <w:pPr>
        <w:rPr>
          <w:sz w:val="20"/>
          <w:szCs w:val="20"/>
        </w:rPr>
      </w:pPr>
    </w:p>
    <w:p w:rsidR="00752307" w:rsidRDefault="00752307">
      <w:pPr>
        <w:rPr>
          <w:sz w:val="20"/>
          <w:szCs w:val="20"/>
        </w:rPr>
      </w:pPr>
      <w:r>
        <w:rPr>
          <w:sz w:val="20"/>
          <w:szCs w:val="20"/>
        </w:rPr>
        <w:br w:type="page"/>
      </w:r>
    </w:p>
    <w:tbl>
      <w:tblPr>
        <w:tblW w:w="5000" w:type="pct"/>
        <w:tblCellSpacing w:w="0" w:type="dxa"/>
        <w:tblCellMar>
          <w:left w:w="0" w:type="dxa"/>
          <w:right w:w="0" w:type="dxa"/>
        </w:tblCellMar>
        <w:tblLook w:val="04A0"/>
      </w:tblPr>
      <w:tblGrid>
        <w:gridCol w:w="10560"/>
        <w:gridCol w:w="300"/>
        <w:gridCol w:w="2100"/>
      </w:tblGrid>
      <w:tr w:rsidR="00DB6964" w:rsidRPr="00407805">
        <w:trPr>
          <w:tblCellSpacing w:w="0" w:type="dxa"/>
        </w:trPr>
        <w:tc>
          <w:tcPr>
            <w:tcW w:w="0" w:type="auto"/>
            <w:hideMark/>
          </w:tcPr>
          <w:tbl>
            <w:tblPr>
              <w:tblW w:w="0" w:type="auto"/>
              <w:tblCellSpacing w:w="0" w:type="dxa"/>
              <w:tblCellMar>
                <w:left w:w="0" w:type="dxa"/>
                <w:right w:w="0" w:type="dxa"/>
              </w:tblCellMar>
              <w:tblLook w:val="04A0"/>
            </w:tblPr>
            <w:tblGrid>
              <w:gridCol w:w="2533"/>
            </w:tblGrid>
            <w:tr w:rsidR="00DB6964" w:rsidRPr="00407805">
              <w:trPr>
                <w:tblCellSpacing w:w="0" w:type="dxa"/>
              </w:trPr>
              <w:tc>
                <w:tcPr>
                  <w:tcW w:w="5000" w:type="pct"/>
                  <w:vAlign w:val="center"/>
                  <w:hideMark/>
                </w:tcPr>
                <w:p w:rsidR="00DB6964" w:rsidRPr="00407805" w:rsidRDefault="00DB6964" w:rsidP="00DB6964">
                  <w:pPr>
                    <w:spacing w:after="0" w:line="336" w:lineRule="auto"/>
                    <w:rPr>
                      <w:rFonts w:eastAsia="Times New Roman" w:cs="Times New Roman"/>
                      <w:color w:val="333333"/>
                      <w:sz w:val="20"/>
                      <w:szCs w:val="20"/>
                    </w:rPr>
                  </w:pPr>
                  <w:proofErr w:type="spellStart"/>
                  <w:r w:rsidRPr="00407805">
                    <w:rPr>
                      <w:rFonts w:eastAsia="Times New Roman" w:cs="Times New Roman"/>
                      <w:color w:val="730000"/>
                      <w:sz w:val="20"/>
                      <w:szCs w:val="20"/>
                    </w:rPr>
                    <w:lastRenderedPageBreak/>
                    <w:t>Northshore</w:t>
                  </w:r>
                  <w:proofErr w:type="spellEnd"/>
                  <w:r w:rsidRPr="00407805">
                    <w:rPr>
                      <w:rFonts w:eastAsia="Times New Roman" w:cs="Times New Roman"/>
                      <w:color w:val="730000"/>
                      <w:sz w:val="20"/>
                      <w:szCs w:val="20"/>
                    </w:rPr>
                    <w:t xml:space="preserve"> Hamilton, Brisbane</w:t>
                  </w:r>
                </w:p>
              </w:tc>
            </w:tr>
          </w:tbl>
          <w:p w:rsidR="00DB6964" w:rsidRPr="00407805" w:rsidRDefault="00DB6964" w:rsidP="00DB6964">
            <w:pPr>
              <w:spacing w:after="0" w:line="336" w:lineRule="auto"/>
              <w:rPr>
                <w:rFonts w:eastAsia="Times New Roman" w:cs="Times New Roman"/>
                <w:color w:val="333333"/>
                <w:sz w:val="20"/>
                <w:szCs w:val="20"/>
              </w:rPr>
            </w:pPr>
            <w:bookmarkStart w:id="0" w:name="42"/>
            <w:bookmarkEnd w:id="0"/>
          </w:p>
          <w:tbl>
            <w:tblPr>
              <w:tblW w:w="0" w:type="auto"/>
              <w:tblCellSpacing w:w="0" w:type="dxa"/>
              <w:tblCellMar>
                <w:left w:w="0" w:type="dxa"/>
                <w:right w:w="0" w:type="dxa"/>
              </w:tblCellMar>
              <w:tblLook w:val="04A0"/>
            </w:tblPr>
            <w:tblGrid>
              <w:gridCol w:w="7980"/>
            </w:tblGrid>
            <w:tr w:rsidR="00DB6964" w:rsidRPr="00407805">
              <w:trPr>
                <w:tblCellSpacing w:w="0" w:type="dxa"/>
              </w:trPr>
              <w:tc>
                <w:tcPr>
                  <w:tcW w:w="0" w:type="auto"/>
                  <w:vAlign w:val="center"/>
                  <w:hideMark/>
                </w:tcPr>
                <w:tbl>
                  <w:tblPr>
                    <w:tblW w:w="0" w:type="auto"/>
                    <w:tblCellSpacing w:w="0" w:type="dxa"/>
                    <w:tblCellMar>
                      <w:left w:w="0" w:type="dxa"/>
                      <w:right w:w="0" w:type="dxa"/>
                    </w:tblCellMar>
                    <w:tblLook w:val="04A0"/>
                  </w:tblPr>
                  <w:tblGrid>
                    <w:gridCol w:w="7980"/>
                  </w:tblGrid>
                  <w:tr w:rsidR="00DB6964" w:rsidRPr="00407805">
                    <w:trPr>
                      <w:tblCellSpacing w:w="0" w:type="dxa"/>
                    </w:trPr>
                    <w:tc>
                      <w:tcPr>
                        <w:tcW w:w="0" w:type="auto"/>
                        <w:vAlign w:val="center"/>
                        <w:hideMark/>
                      </w:tcPr>
                      <w:p w:rsidR="00DB6964" w:rsidRPr="00407805" w:rsidRDefault="00DB6964" w:rsidP="00DB6964">
                        <w:pPr>
                          <w:spacing w:after="0" w:line="336" w:lineRule="auto"/>
                          <w:rPr>
                            <w:rFonts w:eastAsia="Times New Roman" w:cs="Times New Roman"/>
                            <w:color w:val="333333"/>
                            <w:sz w:val="20"/>
                            <w:szCs w:val="20"/>
                          </w:rPr>
                        </w:pPr>
                        <w:r w:rsidRPr="00407805">
                          <w:rPr>
                            <w:rFonts w:eastAsia="Times New Roman" w:cs="Times New Roman"/>
                            <w:noProof/>
                            <w:color w:val="333333"/>
                            <w:sz w:val="20"/>
                            <w:szCs w:val="20"/>
                          </w:rPr>
                          <w:drawing>
                            <wp:inline distT="0" distB="0" distL="0" distR="0">
                              <wp:extent cx="5046345" cy="2379345"/>
                              <wp:effectExtent l="19050" t="0" r="1905" b="0"/>
                              <wp:docPr id="1" name="Picture 1" descr="Northshore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hore Hamilton"/>
                                      <pic:cNvPicPr>
                                        <a:picLocks noChangeAspect="1" noChangeArrowheads="1"/>
                                      </pic:cNvPicPr>
                                    </pic:nvPicPr>
                                    <pic:blipFill>
                                      <a:blip r:embed="rId6" cstate="print"/>
                                      <a:srcRect/>
                                      <a:stretch>
                                        <a:fillRect/>
                                      </a:stretch>
                                    </pic:blipFill>
                                    <pic:spPr bwMode="auto">
                                      <a:xfrm>
                                        <a:off x="0" y="0"/>
                                        <a:ext cx="5046345" cy="2379345"/>
                                      </a:xfrm>
                                      <a:prstGeom prst="rect">
                                        <a:avLst/>
                                      </a:prstGeom>
                                      <a:noFill/>
                                      <a:ln w="9525">
                                        <a:noFill/>
                                        <a:miter lim="800000"/>
                                        <a:headEnd/>
                                        <a:tailEnd/>
                                      </a:ln>
                                    </pic:spPr>
                                  </pic:pic>
                                </a:graphicData>
                              </a:graphic>
                            </wp:inline>
                          </w:drawing>
                        </w:r>
                      </w:p>
                    </w:tc>
                  </w:tr>
                  <w:tr w:rsidR="00DB6964" w:rsidRPr="00407805">
                    <w:trPr>
                      <w:tblCellSpacing w:w="0" w:type="dxa"/>
                    </w:trPr>
                    <w:tc>
                      <w:tcPr>
                        <w:tcW w:w="7950" w:type="dxa"/>
                        <w:tcMar>
                          <w:top w:w="67" w:type="dxa"/>
                          <w:left w:w="0" w:type="dxa"/>
                          <w:bottom w:w="0" w:type="dxa"/>
                          <w:right w:w="0" w:type="dxa"/>
                        </w:tcMar>
                        <w:vAlign w:val="center"/>
                        <w:hideMark/>
                      </w:tcPr>
                      <w:p w:rsidR="00DB6964" w:rsidRPr="00407805" w:rsidRDefault="00DB6964" w:rsidP="00DB6964">
                        <w:pPr>
                          <w:spacing w:after="0" w:line="147" w:lineRule="atLeast"/>
                          <w:rPr>
                            <w:rFonts w:eastAsia="Times New Roman" w:cs="Times New Roman"/>
                            <w:i/>
                            <w:iCs/>
                            <w:color w:val="333333"/>
                            <w:sz w:val="20"/>
                            <w:szCs w:val="20"/>
                          </w:rPr>
                        </w:pPr>
                      </w:p>
                    </w:tc>
                  </w:tr>
                </w:tbl>
                <w:p w:rsidR="00DB6964" w:rsidRPr="00407805" w:rsidRDefault="00DB6964" w:rsidP="00DB6964">
                  <w:pPr>
                    <w:spacing w:after="0" w:line="336" w:lineRule="auto"/>
                    <w:rPr>
                      <w:rFonts w:eastAsia="Times New Roman" w:cs="Times New Roman"/>
                      <w:color w:val="333333"/>
                      <w:sz w:val="20"/>
                      <w:szCs w:val="20"/>
                    </w:rPr>
                  </w:pPr>
                </w:p>
              </w:tc>
            </w:tr>
          </w:tbl>
          <w:p w:rsidR="00DB6964" w:rsidRPr="00407805" w:rsidRDefault="00DB6964" w:rsidP="00DB6964">
            <w:pPr>
              <w:spacing w:after="0" w:line="336" w:lineRule="auto"/>
              <w:rPr>
                <w:rFonts w:eastAsia="Times New Roman" w:cs="Times New Roman"/>
                <w:vanish/>
                <w:color w:val="333333"/>
                <w:sz w:val="20"/>
                <w:szCs w:val="20"/>
              </w:rPr>
            </w:pPr>
            <w:bookmarkStart w:id="1" w:name="133"/>
            <w:bookmarkEnd w:id="1"/>
          </w:p>
          <w:tbl>
            <w:tblPr>
              <w:tblW w:w="0" w:type="auto"/>
              <w:tblCellSpacing w:w="0" w:type="dxa"/>
              <w:tblCellMar>
                <w:left w:w="0" w:type="dxa"/>
                <w:right w:w="0" w:type="dxa"/>
              </w:tblCellMar>
              <w:tblLook w:val="04A0"/>
            </w:tblPr>
            <w:tblGrid>
              <w:gridCol w:w="10560"/>
            </w:tblGrid>
            <w:tr w:rsidR="00DB6964" w:rsidRPr="00407805">
              <w:trPr>
                <w:tblCellSpacing w:w="0" w:type="dxa"/>
              </w:trPr>
              <w:tc>
                <w:tcPr>
                  <w:tcW w:w="0" w:type="auto"/>
                  <w:vAlign w:val="center"/>
                  <w:hideMark/>
                </w:tcPr>
                <w:p w:rsidR="00DB6964" w:rsidRPr="00407805" w:rsidRDefault="00DB6964" w:rsidP="00DB6964">
                  <w:pPr>
                    <w:spacing w:after="240" w:line="336" w:lineRule="auto"/>
                    <w:rPr>
                      <w:rFonts w:eastAsia="Times New Roman" w:cs="Times New Roman"/>
                      <w:color w:val="333333"/>
                      <w:sz w:val="20"/>
                      <w:szCs w:val="20"/>
                    </w:rPr>
                  </w:pPr>
                  <w:r w:rsidRPr="00407805">
                    <w:rPr>
                      <w:rFonts w:eastAsia="Times New Roman" w:cs="Times New Roman"/>
                      <w:color w:val="333333"/>
                      <w:sz w:val="20"/>
                      <w:szCs w:val="20"/>
                    </w:rPr>
                    <w:t xml:space="preserve">Located six </w:t>
                  </w:r>
                  <w:proofErr w:type="spellStart"/>
                  <w:r w:rsidRPr="00407805">
                    <w:rPr>
                      <w:rFonts w:eastAsia="Times New Roman" w:cs="Times New Roman"/>
                      <w:color w:val="333333"/>
                      <w:sz w:val="20"/>
                      <w:szCs w:val="20"/>
                    </w:rPr>
                    <w:t>kilometres</w:t>
                  </w:r>
                  <w:proofErr w:type="spellEnd"/>
                  <w:r w:rsidRPr="00407805">
                    <w:rPr>
                      <w:rFonts w:eastAsia="Times New Roman" w:cs="Times New Roman"/>
                      <w:color w:val="333333"/>
                      <w:sz w:val="20"/>
                      <w:szCs w:val="20"/>
                    </w:rPr>
                    <w:t xml:space="preserve"> from the Brisbane CBD, the </w:t>
                  </w:r>
                  <w:proofErr w:type="spellStart"/>
                  <w:r w:rsidRPr="00407805">
                    <w:rPr>
                      <w:rFonts w:eastAsia="Times New Roman" w:cs="Times New Roman"/>
                      <w:color w:val="333333"/>
                      <w:sz w:val="20"/>
                      <w:szCs w:val="20"/>
                    </w:rPr>
                    <w:t>Northshore</w:t>
                  </w:r>
                  <w:proofErr w:type="spellEnd"/>
                  <w:r w:rsidRPr="00407805">
                    <w:rPr>
                      <w:rFonts w:eastAsia="Times New Roman" w:cs="Times New Roman"/>
                      <w:color w:val="333333"/>
                      <w:sz w:val="20"/>
                      <w:szCs w:val="20"/>
                    </w:rPr>
                    <w:t xml:space="preserve"> Hamilton Urban Development Area (UDA) covers 304-hectares of land, with a two </w:t>
                  </w:r>
                  <w:proofErr w:type="spellStart"/>
                  <w:r w:rsidRPr="00407805">
                    <w:rPr>
                      <w:rFonts w:eastAsia="Times New Roman" w:cs="Times New Roman"/>
                      <w:color w:val="333333"/>
                      <w:sz w:val="20"/>
                      <w:szCs w:val="20"/>
                    </w:rPr>
                    <w:t>kilometre</w:t>
                  </w:r>
                  <w:proofErr w:type="spellEnd"/>
                  <w:r w:rsidRPr="00407805">
                    <w:rPr>
                      <w:rFonts w:eastAsia="Times New Roman" w:cs="Times New Roman"/>
                      <w:color w:val="333333"/>
                      <w:sz w:val="20"/>
                      <w:szCs w:val="20"/>
                    </w:rPr>
                    <w:t xml:space="preserve"> river frontage.</w:t>
                  </w:r>
                  <w:r w:rsidRPr="00407805">
                    <w:rPr>
                      <w:rFonts w:eastAsia="Times New Roman" w:cs="Times New Roman"/>
                      <w:color w:val="333333"/>
                      <w:sz w:val="20"/>
                      <w:szCs w:val="20"/>
                    </w:rPr>
                    <w:br/>
                  </w:r>
                  <w:r w:rsidRPr="00407805">
                    <w:rPr>
                      <w:rFonts w:eastAsia="Times New Roman" w:cs="Times New Roman"/>
                      <w:color w:val="333333"/>
                      <w:sz w:val="20"/>
                      <w:szCs w:val="20"/>
                    </w:rPr>
                    <w:br/>
                    <w:t xml:space="preserve">The </w:t>
                  </w:r>
                  <w:proofErr w:type="spellStart"/>
                  <w:r w:rsidRPr="00407805">
                    <w:rPr>
                      <w:rFonts w:eastAsia="Times New Roman" w:cs="Times New Roman"/>
                      <w:color w:val="333333"/>
                      <w:sz w:val="20"/>
                      <w:szCs w:val="20"/>
                    </w:rPr>
                    <w:t>Northshore</w:t>
                  </w:r>
                  <w:proofErr w:type="spellEnd"/>
                  <w:r w:rsidRPr="00407805">
                    <w:rPr>
                      <w:rFonts w:eastAsia="Times New Roman" w:cs="Times New Roman"/>
                      <w:color w:val="333333"/>
                      <w:sz w:val="20"/>
                      <w:szCs w:val="20"/>
                    </w:rPr>
                    <w:t xml:space="preserve"> Hamilton UDA includes land between Kingsford Smith Drive and the Brisbane River, extending from </w:t>
                  </w:r>
                  <w:proofErr w:type="spellStart"/>
                  <w:r w:rsidRPr="00407805">
                    <w:rPr>
                      <w:rFonts w:eastAsia="Times New Roman" w:cs="Times New Roman"/>
                      <w:color w:val="333333"/>
                      <w:sz w:val="20"/>
                      <w:szCs w:val="20"/>
                    </w:rPr>
                    <w:t>Bretts</w:t>
                  </w:r>
                  <w:proofErr w:type="spellEnd"/>
                  <w:r w:rsidRPr="00407805">
                    <w:rPr>
                      <w:rFonts w:eastAsia="Times New Roman" w:cs="Times New Roman"/>
                      <w:color w:val="333333"/>
                      <w:sz w:val="20"/>
                      <w:szCs w:val="20"/>
                    </w:rPr>
                    <w:t xml:space="preserve"> Wharf to the west and the Gateway Motorway to the east. </w:t>
                  </w:r>
                  <w:r w:rsidRPr="00407805">
                    <w:rPr>
                      <w:rFonts w:eastAsia="Times New Roman" w:cs="Times New Roman"/>
                      <w:color w:val="333333"/>
                      <w:sz w:val="20"/>
                      <w:szCs w:val="20"/>
                    </w:rPr>
                    <w:br/>
                  </w:r>
                  <w:r w:rsidRPr="00407805">
                    <w:rPr>
                      <w:rFonts w:eastAsia="Times New Roman" w:cs="Times New Roman"/>
                      <w:color w:val="333333"/>
                      <w:sz w:val="20"/>
                      <w:szCs w:val="20"/>
                    </w:rPr>
                    <w:br/>
                    <w:t xml:space="preserve">The </w:t>
                  </w:r>
                  <w:proofErr w:type="spellStart"/>
                  <w:r w:rsidRPr="00407805">
                    <w:rPr>
                      <w:rFonts w:eastAsia="Times New Roman" w:cs="Times New Roman"/>
                      <w:color w:val="333333"/>
                      <w:sz w:val="20"/>
                      <w:szCs w:val="20"/>
                    </w:rPr>
                    <w:t>Northshore</w:t>
                  </w:r>
                  <w:proofErr w:type="spellEnd"/>
                  <w:r w:rsidRPr="00407805">
                    <w:rPr>
                      <w:rFonts w:eastAsia="Times New Roman" w:cs="Times New Roman"/>
                      <w:color w:val="333333"/>
                      <w:sz w:val="20"/>
                      <w:szCs w:val="20"/>
                    </w:rPr>
                    <w:t xml:space="preserve"> Hamilton UDA is close to some of Brisbane’s most important economic drivers, including the Brisbane Airport and the Australia Trade Coast precinct.</w:t>
                  </w:r>
                </w:p>
              </w:tc>
            </w:tr>
          </w:tbl>
          <w:p w:rsidR="00DB6964" w:rsidRPr="00407805" w:rsidRDefault="00DB6964" w:rsidP="00DB6964">
            <w:pPr>
              <w:spacing w:after="0" w:line="336" w:lineRule="auto"/>
              <w:rPr>
                <w:rFonts w:eastAsia="Times New Roman" w:cs="Times New Roman"/>
                <w:color w:val="333333"/>
                <w:sz w:val="20"/>
                <w:szCs w:val="20"/>
              </w:rPr>
            </w:pPr>
          </w:p>
        </w:tc>
        <w:tc>
          <w:tcPr>
            <w:tcW w:w="300" w:type="dxa"/>
            <w:hideMark/>
          </w:tcPr>
          <w:p w:rsidR="00DB6964" w:rsidRPr="00407805" w:rsidRDefault="00DB6964" w:rsidP="00DB6964">
            <w:pPr>
              <w:spacing w:after="0" w:line="336" w:lineRule="auto"/>
              <w:rPr>
                <w:rFonts w:eastAsia="Times New Roman" w:cs="Times New Roman"/>
                <w:color w:val="333333"/>
                <w:sz w:val="20"/>
                <w:szCs w:val="20"/>
              </w:rPr>
            </w:pPr>
            <w:r w:rsidRPr="00407805">
              <w:rPr>
                <w:rFonts w:eastAsia="Times New Roman" w:cs="Times New Roman"/>
                <w:noProof/>
                <w:color w:val="333333"/>
                <w:sz w:val="20"/>
                <w:szCs w:val="20"/>
              </w:rPr>
              <w:drawing>
                <wp:inline distT="0" distB="0" distL="0" distR="0">
                  <wp:extent cx="186055" cy="186055"/>
                  <wp:effectExtent l="0" t="0" r="0" b="0"/>
                  <wp:docPr id="2" name="Picture 2"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lda.qld.gov.au/00_graphics/spacer.gif"/>
                          <pic:cNvPicPr>
                            <a:picLocks noChangeAspect="1" noChangeArrowheads="1"/>
                          </pic:cNvPicPr>
                        </pic:nvPicPr>
                        <pic:blipFill>
                          <a:blip r:embed="rId7"/>
                          <a:srcRect/>
                          <a:stretch>
                            <a:fillRect/>
                          </a:stretch>
                        </pic:blipFill>
                        <pic:spPr bwMode="auto">
                          <a:xfrm>
                            <a:off x="0" y="0"/>
                            <a:ext cx="186055" cy="186055"/>
                          </a:xfrm>
                          <a:prstGeom prst="rect">
                            <a:avLst/>
                          </a:prstGeom>
                          <a:noFill/>
                          <a:ln w="9525">
                            <a:noFill/>
                            <a:miter lim="800000"/>
                            <a:headEnd/>
                            <a:tailEnd/>
                          </a:ln>
                        </pic:spPr>
                      </pic:pic>
                    </a:graphicData>
                  </a:graphic>
                </wp:inline>
              </w:drawing>
            </w:r>
          </w:p>
        </w:tc>
        <w:tc>
          <w:tcPr>
            <w:tcW w:w="2100" w:type="dxa"/>
            <w:hideMark/>
          </w:tcPr>
          <w:p w:rsidR="00DB6964" w:rsidRPr="00407805" w:rsidRDefault="00DB6964" w:rsidP="00DB6964">
            <w:pPr>
              <w:spacing w:after="0" w:line="336" w:lineRule="auto"/>
              <w:rPr>
                <w:rFonts w:eastAsia="Times New Roman" w:cs="Times New Roman"/>
                <w:color w:val="333333"/>
                <w:sz w:val="20"/>
                <w:szCs w:val="20"/>
              </w:rPr>
            </w:pPr>
            <w:r w:rsidRPr="00407805">
              <w:rPr>
                <w:rFonts w:eastAsia="Times New Roman" w:cs="Times New Roman"/>
                <w:noProof/>
                <w:color w:val="333333"/>
                <w:sz w:val="20"/>
                <w:szCs w:val="20"/>
              </w:rPr>
              <w:drawing>
                <wp:inline distT="0" distB="0" distL="0" distR="0">
                  <wp:extent cx="287655" cy="287655"/>
                  <wp:effectExtent l="0" t="0" r="0" b="0"/>
                  <wp:docPr id="3" name="Picture 3"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lda.qld.gov.au/00_graphics/spacer.gif"/>
                          <pic:cNvPicPr>
                            <a:picLocks noChangeAspect="1" noChangeArrowheads="1"/>
                          </pic:cNvPicPr>
                        </pic:nvPicPr>
                        <pic:blipFill>
                          <a:blip r:embed="rId7"/>
                          <a:srcRect/>
                          <a:stretch>
                            <a:fillRect/>
                          </a:stretch>
                        </pic:blipFill>
                        <pic:spPr bwMode="auto">
                          <a:xfrm>
                            <a:off x="0" y="0"/>
                            <a:ext cx="287655" cy="287655"/>
                          </a:xfrm>
                          <a:prstGeom prst="rect">
                            <a:avLst/>
                          </a:prstGeom>
                          <a:noFill/>
                          <a:ln w="9525">
                            <a:noFill/>
                            <a:miter lim="800000"/>
                            <a:headEnd/>
                            <a:tailEnd/>
                          </a:ln>
                        </pic:spPr>
                      </pic:pic>
                    </a:graphicData>
                  </a:graphic>
                </wp:inline>
              </w:drawing>
            </w:r>
          </w:p>
          <w:tbl>
            <w:tblPr>
              <w:tblW w:w="2100" w:type="dxa"/>
              <w:tblCellSpacing w:w="0" w:type="dxa"/>
              <w:tblCellMar>
                <w:left w:w="0" w:type="dxa"/>
                <w:right w:w="0" w:type="dxa"/>
              </w:tblCellMar>
              <w:tblLook w:val="04A0"/>
            </w:tblPr>
            <w:tblGrid>
              <w:gridCol w:w="2100"/>
            </w:tblGrid>
            <w:tr w:rsidR="00DB6964" w:rsidRPr="00407805">
              <w:trPr>
                <w:tblCellSpacing w:w="0" w:type="dxa"/>
              </w:trPr>
              <w:tc>
                <w:tcPr>
                  <w:tcW w:w="0" w:type="auto"/>
                  <w:vAlign w:val="center"/>
                  <w:hideMark/>
                </w:tcPr>
                <w:p w:rsidR="00DB6964" w:rsidRPr="00407805" w:rsidRDefault="002B7D39" w:rsidP="00DB6964">
                  <w:pPr>
                    <w:spacing w:after="0" w:line="336" w:lineRule="auto"/>
                    <w:rPr>
                      <w:rFonts w:eastAsia="Times New Roman" w:cs="Times New Roman"/>
                      <w:color w:val="333333"/>
                      <w:sz w:val="20"/>
                      <w:szCs w:val="20"/>
                    </w:rPr>
                  </w:pPr>
                  <w:hyperlink r:id="rId8" w:tgtFrame="_blank" w:history="1">
                    <w:proofErr w:type="spellStart"/>
                    <w:r w:rsidR="00DB6964" w:rsidRPr="00407805">
                      <w:rPr>
                        <w:rFonts w:eastAsia="Times New Roman" w:cs="Times New Roman"/>
                        <w:b/>
                        <w:bCs/>
                        <w:color w:val="730000"/>
                        <w:sz w:val="20"/>
                        <w:szCs w:val="20"/>
                      </w:rPr>
                      <w:t>Northshore</w:t>
                    </w:r>
                    <w:proofErr w:type="spellEnd"/>
                    <w:r w:rsidR="00DB6964" w:rsidRPr="00407805">
                      <w:rPr>
                        <w:rFonts w:eastAsia="Times New Roman" w:cs="Times New Roman"/>
                        <w:b/>
                        <w:bCs/>
                        <w:color w:val="730000"/>
                        <w:sz w:val="20"/>
                        <w:szCs w:val="20"/>
                      </w:rPr>
                      <w:t xml:space="preserve"> Hamilton Community Newsletter 3</w:t>
                    </w:r>
                  </w:hyperlink>
                  <w:r w:rsidR="00DB6964" w:rsidRPr="00407805">
                    <w:rPr>
                      <w:rFonts w:eastAsia="Times New Roman" w:cs="Times New Roman"/>
                      <w:color w:val="333333"/>
                      <w:sz w:val="20"/>
                      <w:szCs w:val="20"/>
                    </w:rPr>
                    <w:br/>
                    <w:t>PDF 164KB </w:t>
                  </w:r>
                  <w:r w:rsidR="00DB6964" w:rsidRPr="00407805">
                    <w:rPr>
                      <w:rFonts w:eastAsia="Times New Roman" w:cs="Times New Roman"/>
                      <w:noProof/>
                      <w:color w:val="730000"/>
                      <w:sz w:val="20"/>
                      <w:szCs w:val="20"/>
                    </w:rPr>
                    <w:drawing>
                      <wp:inline distT="0" distB="0" distL="0" distR="0">
                        <wp:extent cx="93345" cy="67945"/>
                        <wp:effectExtent l="0" t="0" r="1905" b="0"/>
                        <wp:docPr id="4" name="Picture 4" descr="http://www.ulda.qld.gov.au/00_graphics/but_more.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lda.qld.gov.au/00_graphics/but_more.gif">
                                  <a:hlinkClick r:id="rId8" tgtFrame="_blank"/>
                                </pic:cNvPr>
                                <pic:cNvPicPr>
                                  <a:picLocks noChangeAspect="1" noChangeArrowheads="1"/>
                                </pic:cNvPicPr>
                              </pic:nvPicPr>
                              <pic:blipFill>
                                <a:blip r:embed="rId9" cstate="print"/>
                                <a:srcRect/>
                                <a:stretch>
                                  <a:fillRect/>
                                </a:stretch>
                              </pic:blipFill>
                              <pic:spPr bwMode="auto">
                                <a:xfrm>
                                  <a:off x="0" y="0"/>
                                  <a:ext cx="93345" cy="67945"/>
                                </a:xfrm>
                                <a:prstGeom prst="rect">
                                  <a:avLst/>
                                </a:prstGeom>
                                <a:noFill/>
                                <a:ln w="9525">
                                  <a:noFill/>
                                  <a:miter lim="800000"/>
                                  <a:headEnd/>
                                  <a:tailEnd/>
                                </a:ln>
                              </pic:spPr>
                            </pic:pic>
                          </a:graphicData>
                        </a:graphic>
                      </wp:inline>
                    </w:drawing>
                  </w:r>
                  <w:r w:rsidR="00DB6964" w:rsidRPr="00407805">
                    <w:rPr>
                      <w:rFonts w:eastAsia="Times New Roman" w:cs="Times New Roman"/>
                      <w:color w:val="333333"/>
                      <w:sz w:val="20"/>
                      <w:szCs w:val="20"/>
                    </w:rPr>
                    <w:br/>
                  </w:r>
                  <w:r w:rsidR="00DB6964" w:rsidRPr="00407805">
                    <w:rPr>
                      <w:rFonts w:eastAsia="Times New Roman" w:cs="Times New Roman"/>
                      <w:noProof/>
                      <w:color w:val="333333"/>
                      <w:sz w:val="20"/>
                      <w:szCs w:val="20"/>
                    </w:rPr>
                    <w:drawing>
                      <wp:inline distT="0" distB="0" distL="0" distR="0">
                        <wp:extent cx="8255" cy="93345"/>
                        <wp:effectExtent l="0" t="0" r="0" b="0"/>
                        <wp:docPr id="5" name="Picture 5"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lda.qld.gov.au/00_graphics/spacer.gif"/>
                                <pic:cNvPicPr>
                                  <a:picLocks noChangeAspect="1" noChangeArrowheads="1"/>
                                </pic:cNvPicPr>
                              </pic:nvPicPr>
                              <pic:blipFill>
                                <a:blip r:embed="rId7"/>
                                <a:srcRect/>
                                <a:stretch>
                                  <a:fillRect/>
                                </a:stretch>
                              </pic:blipFill>
                              <pic:spPr bwMode="auto">
                                <a:xfrm>
                                  <a:off x="0" y="0"/>
                                  <a:ext cx="8255" cy="93345"/>
                                </a:xfrm>
                                <a:prstGeom prst="rect">
                                  <a:avLst/>
                                </a:prstGeom>
                                <a:noFill/>
                                <a:ln w="9525">
                                  <a:noFill/>
                                  <a:miter lim="800000"/>
                                  <a:headEnd/>
                                  <a:tailEnd/>
                                </a:ln>
                              </pic:spPr>
                            </pic:pic>
                          </a:graphicData>
                        </a:graphic>
                      </wp:inline>
                    </w:drawing>
                  </w:r>
                </w:p>
              </w:tc>
            </w:tr>
            <w:tr w:rsidR="00DB6964" w:rsidRPr="00407805">
              <w:trPr>
                <w:tblCellSpacing w:w="0" w:type="dxa"/>
              </w:trPr>
              <w:tc>
                <w:tcPr>
                  <w:tcW w:w="0" w:type="auto"/>
                  <w:vAlign w:val="center"/>
                  <w:hideMark/>
                </w:tcPr>
                <w:p w:rsidR="00DB6964" w:rsidRPr="00407805" w:rsidRDefault="002B7D39" w:rsidP="00DB6964">
                  <w:pPr>
                    <w:spacing w:after="0" w:line="336" w:lineRule="auto"/>
                    <w:rPr>
                      <w:rFonts w:eastAsia="Times New Roman" w:cs="Times New Roman"/>
                      <w:color w:val="333333"/>
                      <w:sz w:val="20"/>
                      <w:szCs w:val="20"/>
                    </w:rPr>
                  </w:pPr>
                  <w:hyperlink r:id="rId10" w:tgtFrame="_blank" w:history="1">
                    <w:proofErr w:type="spellStart"/>
                    <w:r w:rsidR="00DB6964" w:rsidRPr="00407805">
                      <w:rPr>
                        <w:rFonts w:eastAsia="Times New Roman" w:cs="Times New Roman"/>
                        <w:b/>
                        <w:bCs/>
                        <w:color w:val="730000"/>
                        <w:sz w:val="20"/>
                        <w:szCs w:val="20"/>
                      </w:rPr>
                      <w:t>Northshore</w:t>
                    </w:r>
                    <w:proofErr w:type="spellEnd"/>
                    <w:r w:rsidR="00DB6964" w:rsidRPr="00407805">
                      <w:rPr>
                        <w:rFonts w:eastAsia="Times New Roman" w:cs="Times New Roman"/>
                        <w:b/>
                        <w:bCs/>
                        <w:color w:val="730000"/>
                        <w:sz w:val="20"/>
                        <w:szCs w:val="20"/>
                      </w:rPr>
                      <w:t xml:space="preserve"> Hamilton Community Newsletter 2</w:t>
                    </w:r>
                  </w:hyperlink>
                  <w:r w:rsidR="00DB6964" w:rsidRPr="00407805">
                    <w:rPr>
                      <w:rFonts w:eastAsia="Times New Roman" w:cs="Times New Roman"/>
                      <w:color w:val="333333"/>
                      <w:sz w:val="20"/>
                      <w:szCs w:val="20"/>
                    </w:rPr>
                    <w:br/>
                    <w:t>PDF 551KB </w:t>
                  </w:r>
                  <w:r w:rsidR="00DB6964" w:rsidRPr="00407805">
                    <w:rPr>
                      <w:rFonts w:eastAsia="Times New Roman" w:cs="Times New Roman"/>
                      <w:noProof/>
                      <w:color w:val="730000"/>
                      <w:sz w:val="20"/>
                      <w:szCs w:val="20"/>
                    </w:rPr>
                    <w:drawing>
                      <wp:inline distT="0" distB="0" distL="0" distR="0">
                        <wp:extent cx="93345" cy="67945"/>
                        <wp:effectExtent l="0" t="0" r="1905" b="0"/>
                        <wp:docPr id="6" name="Picture 6" descr="http://www.ulda.qld.gov.au/00_graphics/but_more.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lda.qld.gov.au/00_graphics/but_more.gif">
                                  <a:hlinkClick r:id="rId10" tgtFrame="_blank"/>
                                </pic:cNvPr>
                                <pic:cNvPicPr>
                                  <a:picLocks noChangeAspect="1" noChangeArrowheads="1"/>
                                </pic:cNvPicPr>
                              </pic:nvPicPr>
                              <pic:blipFill>
                                <a:blip r:embed="rId9" cstate="print"/>
                                <a:srcRect/>
                                <a:stretch>
                                  <a:fillRect/>
                                </a:stretch>
                              </pic:blipFill>
                              <pic:spPr bwMode="auto">
                                <a:xfrm>
                                  <a:off x="0" y="0"/>
                                  <a:ext cx="93345" cy="67945"/>
                                </a:xfrm>
                                <a:prstGeom prst="rect">
                                  <a:avLst/>
                                </a:prstGeom>
                                <a:noFill/>
                                <a:ln w="9525">
                                  <a:noFill/>
                                  <a:miter lim="800000"/>
                                  <a:headEnd/>
                                  <a:tailEnd/>
                                </a:ln>
                              </pic:spPr>
                            </pic:pic>
                          </a:graphicData>
                        </a:graphic>
                      </wp:inline>
                    </w:drawing>
                  </w:r>
                  <w:r w:rsidR="00DB6964" w:rsidRPr="00407805">
                    <w:rPr>
                      <w:rFonts w:eastAsia="Times New Roman" w:cs="Times New Roman"/>
                      <w:color w:val="333333"/>
                      <w:sz w:val="20"/>
                      <w:szCs w:val="20"/>
                    </w:rPr>
                    <w:br/>
                  </w:r>
                  <w:r w:rsidR="00DB6964" w:rsidRPr="00407805">
                    <w:rPr>
                      <w:rFonts w:eastAsia="Times New Roman" w:cs="Times New Roman"/>
                      <w:noProof/>
                      <w:color w:val="333333"/>
                      <w:sz w:val="20"/>
                      <w:szCs w:val="20"/>
                    </w:rPr>
                    <w:drawing>
                      <wp:inline distT="0" distB="0" distL="0" distR="0">
                        <wp:extent cx="8255" cy="93345"/>
                        <wp:effectExtent l="0" t="0" r="0" b="0"/>
                        <wp:docPr id="7" name="Picture 7"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lda.qld.gov.au/00_graphics/spacer.gif"/>
                                <pic:cNvPicPr>
                                  <a:picLocks noChangeAspect="1" noChangeArrowheads="1"/>
                                </pic:cNvPicPr>
                              </pic:nvPicPr>
                              <pic:blipFill>
                                <a:blip r:embed="rId7"/>
                                <a:srcRect/>
                                <a:stretch>
                                  <a:fillRect/>
                                </a:stretch>
                              </pic:blipFill>
                              <pic:spPr bwMode="auto">
                                <a:xfrm>
                                  <a:off x="0" y="0"/>
                                  <a:ext cx="8255" cy="93345"/>
                                </a:xfrm>
                                <a:prstGeom prst="rect">
                                  <a:avLst/>
                                </a:prstGeom>
                                <a:noFill/>
                                <a:ln w="9525">
                                  <a:noFill/>
                                  <a:miter lim="800000"/>
                                  <a:headEnd/>
                                  <a:tailEnd/>
                                </a:ln>
                              </pic:spPr>
                            </pic:pic>
                          </a:graphicData>
                        </a:graphic>
                      </wp:inline>
                    </w:drawing>
                  </w:r>
                </w:p>
              </w:tc>
            </w:tr>
            <w:tr w:rsidR="00DB6964" w:rsidRPr="00407805">
              <w:trPr>
                <w:tblCellSpacing w:w="0" w:type="dxa"/>
              </w:trPr>
              <w:tc>
                <w:tcPr>
                  <w:tcW w:w="0" w:type="auto"/>
                  <w:vAlign w:val="center"/>
                  <w:hideMark/>
                </w:tcPr>
                <w:p w:rsidR="00DB6964" w:rsidRPr="00407805" w:rsidRDefault="002B7D39" w:rsidP="00DB6964">
                  <w:pPr>
                    <w:spacing w:after="0" w:line="336" w:lineRule="auto"/>
                    <w:rPr>
                      <w:rFonts w:eastAsia="Times New Roman" w:cs="Times New Roman"/>
                      <w:color w:val="333333"/>
                      <w:sz w:val="20"/>
                      <w:szCs w:val="20"/>
                    </w:rPr>
                  </w:pPr>
                  <w:hyperlink r:id="rId11" w:tgtFrame="_blank" w:history="1">
                    <w:proofErr w:type="spellStart"/>
                    <w:r w:rsidR="00DB6964" w:rsidRPr="00407805">
                      <w:rPr>
                        <w:rFonts w:eastAsia="Times New Roman" w:cs="Times New Roman"/>
                        <w:b/>
                        <w:bCs/>
                        <w:color w:val="730000"/>
                        <w:sz w:val="20"/>
                        <w:szCs w:val="20"/>
                      </w:rPr>
                      <w:t>Northshore</w:t>
                    </w:r>
                    <w:proofErr w:type="spellEnd"/>
                    <w:r w:rsidR="00DB6964" w:rsidRPr="00407805">
                      <w:rPr>
                        <w:rFonts w:eastAsia="Times New Roman" w:cs="Times New Roman"/>
                        <w:b/>
                        <w:bCs/>
                        <w:color w:val="730000"/>
                        <w:sz w:val="20"/>
                        <w:szCs w:val="20"/>
                      </w:rPr>
                      <w:t xml:space="preserve"> Hamilton Community Newsletter 1</w:t>
                    </w:r>
                  </w:hyperlink>
                  <w:r w:rsidR="00DB6964" w:rsidRPr="00407805">
                    <w:rPr>
                      <w:rFonts w:eastAsia="Times New Roman" w:cs="Times New Roman"/>
                      <w:color w:val="333333"/>
                      <w:sz w:val="20"/>
                      <w:szCs w:val="20"/>
                    </w:rPr>
                    <w:br/>
                    <w:t>PDF 712KB </w:t>
                  </w:r>
                  <w:r w:rsidR="00DB6964" w:rsidRPr="00407805">
                    <w:rPr>
                      <w:rFonts w:eastAsia="Times New Roman" w:cs="Times New Roman"/>
                      <w:noProof/>
                      <w:color w:val="730000"/>
                      <w:sz w:val="20"/>
                      <w:szCs w:val="20"/>
                    </w:rPr>
                    <w:drawing>
                      <wp:inline distT="0" distB="0" distL="0" distR="0">
                        <wp:extent cx="93345" cy="67945"/>
                        <wp:effectExtent l="0" t="0" r="1905" b="0"/>
                        <wp:docPr id="8" name="Picture 8" descr="http://www.ulda.qld.gov.au/00_graphics/but_more.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lda.qld.gov.au/00_graphics/but_more.gif">
                                  <a:hlinkClick r:id="rId11" tgtFrame="_blank"/>
                                </pic:cNvPr>
                                <pic:cNvPicPr>
                                  <a:picLocks noChangeAspect="1" noChangeArrowheads="1"/>
                                </pic:cNvPicPr>
                              </pic:nvPicPr>
                              <pic:blipFill>
                                <a:blip r:embed="rId9" cstate="print"/>
                                <a:srcRect/>
                                <a:stretch>
                                  <a:fillRect/>
                                </a:stretch>
                              </pic:blipFill>
                              <pic:spPr bwMode="auto">
                                <a:xfrm>
                                  <a:off x="0" y="0"/>
                                  <a:ext cx="93345" cy="67945"/>
                                </a:xfrm>
                                <a:prstGeom prst="rect">
                                  <a:avLst/>
                                </a:prstGeom>
                                <a:noFill/>
                                <a:ln w="9525">
                                  <a:noFill/>
                                  <a:miter lim="800000"/>
                                  <a:headEnd/>
                                  <a:tailEnd/>
                                </a:ln>
                              </pic:spPr>
                            </pic:pic>
                          </a:graphicData>
                        </a:graphic>
                      </wp:inline>
                    </w:drawing>
                  </w:r>
                  <w:r w:rsidR="00DB6964" w:rsidRPr="00407805">
                    <w:rPr>
                      <w:rFonts w:eastAsia="Times New Roman" w:cs="Times New Roman"/>
                      <w:color w:val="333333"/>
                      <w:sz w:val="20"/>
                      <w:szCs w:val="20"/>
                    </w:rPr>
                    <w:br/>
                  </w:r>
                  <w:r w:rsidR="00DB6964" w:rsidRPr="00407805">
                    <w:rPr>
                      <w:rFonts w:eastAsia="Times New Roman" w:cs="Times New Roman"/>
                      <w:noProof/>
                      <w:color w:val="333333"/>
                      <w:sz w:val="20"/>
                      <w:szCs w:val="20"/>
                    </w:rPr>
                    <w:drawing>
                      <wp:inline distT="0" distB="0" distL="0" distR="0">
                        <wp:extent cx="8255" cy="93345"/>
                        <wp:effectExtent l="0" t="0" r="0" b="0"/>
                        <wp:docPr id="9" name="Picture 9"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lda.qld.gov.au/00_graphics/spacer.gif"/>
                                <pic:cNvPicPr>
                                  <a:picLocks noChangeAspect="1" noChangeArrowheads="1"/>
                                </pic:cNvPicPr>
                              </pic:nvPicPr>
                              <pic:blipFill>
                                <a:blip r:embed="rId7"/>
                                <a:srcRect/>
                                <a:stretch>
                                  <a:fillRect/>
                                </a:stretch>
                              </pic:blipFill>
                              <pic:spPr bwMode="auto">
                                <a:xfrm>
                                  <a:off x="0" y="0"/>
                                  <a:ext cx="8255" cy="93345"/>
                                </a:xfrm>
                                <a:prstGeom prst="rect">
                                  <a:avLst/>
                                </a:prstGeom>
                                <a:noFill/>
                                <a:ln w="9525">
                                  <a:noFill/>
                                  <a:miter lim="800000"/>
                                  <a:headEnd/>
                                  <a:tailEnd/>
                                </a:ln>
                              </pic:spPr>
                            </pic:pic>
                          </a:graphicData>
                        </a:graphic>
                      </wp:inline>
                    </w:drawing>
                  </w:r>
                </w:p>
              </w:tc>
            </w:tr>
            <w:tr w:rsidR="00DB6964" w:rsidRPr="00407805">
              <w:trPr>
                <w:tblCellSpacing w:w="0" w:type="dxa"/>
              </w:trPr>
              <w:tc>
                <w:tcPr>
                  <w:tcW w:w="0" w:type="auto"/>
                  <w:vAlign w:val="center"/>
                  <w:hideMark/>
                </w:tcPr>
                <w:p w:rsidR="00DB6964" w:rsidRPr="00407805" w:rsidRDefault="002B7D39" w:rsidP="00DB6964">
                  <w:pPr>
                    <w:spacing w:after="0" w:line="336" w:lineRule="auto"/>
                    <w:rPr>
                      <w:rFonts w:eastAsia="Times New Roman" w:cs="Times New Roman"/>
                      <w:color w:val="333333"/>
                      <w:sz w:val="20"/>
                      <w:szCs w:val="20"/>
                    </w:rPr>
                  </w:pPr>
                  <w:hyperlink r:id="rId12" w:tgtFrame="_blank" w:history="1">
                    <w:proofErr w:type="spellStart"/>
                    <w:r w:rsidR="00DB6964" w:rsidRPr="00407805">
                      <w:rPr>
                        <w:rFonts w:eastAsia="Times New Roman" w:cs="Times New Roman"/>
                        <w:b/>
                        <w:bCs/>
                        <w:color w:val="730000"/>
                        <w:sz w:val="20"/>
                        <w:szCs w:val="20"/>
                      </w:rPr>
                      <w:t>Northshore</w:t>
                    </w:r>
                    <w:proofErr w:type="spellEnd"/>
                    <w:r w:rsidR="00DB6964" w:rsidRPr="00407805">
                      <w:rPr>
                        <w:rFonts w:eastAsia="Times New Roman" w:cs="Times New Roman"/>
                        <w:b/>
                        <w:bCs/>
                        <w:color w:val="730000"/>
                        <w:sz w:val="20"/>
                        <w:szCs w:val="20"/>
                      </w:rPr>
                      <w:t xml:space="preserve"> Hamilton</w:t>
                    </w:r>
                  </w:hyperlink>
                  <w:r w:rsidR="00DB6964" w:rsidRPr="00407805">
                    <w:rPr>
                      <w:rFonts w:eastAsia="Times New Roman" w:cs="Times New Roman"/>
                      <w:color w:val="333333"/>
                      <w:sz w:val="20"/>
                      <w:szCs w:val="20"/>
                    </w:rPr>
                    <w:br/>
                    <w:t>Fact Sheet 5 PDF 3.45MB </w:t>
                  </w:r>
                  <w:r w:rsidR="00DB6964" w:rsidRPr="00407805">
                    <w:rPr>
                      <w:rFonts w:eastAsia="Times New Roman" w:cs="Times New Roman"/>
                      <w:noProof/>
                      <w:color w:val="730000"/>
                      <w:sz w:val="20"/>
                      <w:szCs w:val="20"/>
                    </w:rPr>
                    <w:drawing>
                      <wp:inline distT="0" distB="0" distL="0" distR="0">
                        <wp:extent cx="93345" cy="67945"/>
                        <wp:effectExtent l="0" t="0" r="1905" b="0"/>
                        <wp:docPr id="10" name="Picture 10" descr="http://www.ulda.qld.gov.au/00_graphics/but_more.gif">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lda.qld.gov.au/00_graphics/but_more.gif">
                                  <a:hlinkClick r:id="rId12" tgtFrame="_blank"/>
                                </pic:cNvPr>
                                <pic:cNvPicPr>
                                  <a:picLocks noChangeAspect="1" noChangeArrowheads="1"/>
                                </pic:cNvPicPr>
                              </pic:nvPicPr>
                              <pic:blipFill>
                                <a:blip r:embed="rId9" cstate="print"/>
                                <a:srcRect/>
                                <a:stretch>
                                  <a:fillRect/>
                                </a:stretch>
                              </pic:blipFill>
                              <pic:spPr bwMode="auto">
                                <a:xfrm>
                                  <a:off x="0" y="0"/>
                                  <a:ext cx="93345" cy="67945"/>
                                </a:xfrm>
                                <a:prstGeom prst="rect">
                                  <a:avLst/>
                                </a:prstGeom>
                                <a:noFill/>
                                <a:ln w="9525">
                                  <a:noFill/>
                                  <a:miter lim="800000"/>
                                  <a:headEnd/>
                                  <a:tailEnd/>
                                </a:ln>
                              </pic:spPr>
                            </pic:pic>
                          </a:graphicData>
                        </a:graphic>
                      </wp:inline>
                    </w:drawing>
                  </w:r>
                  <w:r w:rsidR="00DB6964" w:rsidRPr="00407805">
                    <w:rPr>
                      <w:rFonts w:eastAsia="Times New Roman" w:cs="Times New Roman"/>
                      <w:color w:val="333333"/>
                      <w:sz w:val="20"/>
                      <w:szCs w:val="20"/>
                    </w:rPr>
                    <w:br/>
                  </w:r>
                  <w:r w:rsidR="00DB6964" w:rsidRPr="00407805">
                    <w:rPr>
                      <w:rFonts w:eastAsia="Times New Roman" w:cs="Times New Roman"/>
                      <w:noProof/>
                      <w:color w:val="333333"/>
                      <w:sz w:val="20"/>
                      <w:szCs w:val="20"/>
                    </w:rPr>
                    <w:drawing>
                      <wp:inline distT="0" distB="0" distL="0" distR="0">
                        <wp:extent cx="8255" cy="93345"/>
                        <wp:effectExtent l="0" t="0" r="0" b="0"/>
                        <wp:docPr id="11" name="Picture 11"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lda.qld.gov.au/00_graphics/spacer.gif"/>
                                <pic:cNvPicPr>
                                  <a:picLocks noChangeAspect="1" noChangeArrowheads="1"/>
                                </pic:cNvPicPr>
                              </pic:nvPicPr>
                              <pic:blipFill>
                                <a:blip r:embed="rId7"/>
                                <a:srcRect/>
                                <a:stretch>
                                  <a:fillRect/>
                                </a:stretch>
                              </pic:blipFill>
                              <pic:spPr bwMode="auto">
                                <a:xfrm>
                                  <a:off x="0" y="0"/>
                                  <a:ext cx="8255" cy="93345"/>
                                </a:xfrm>
                                <a:prstGeom prst="rect">
                                  <a:avLst/>
                                </a:prstGeom>
                                <a:noFill/>
                                <a:ln w="9525">
                                  <a:noFill/>
                                  <a:miter lim="800000"/>
                                  <a:headEnd/>
                                  <a:tailEnd/>
                                </a:ln>
                              </pic:spPr>
                            </pic:pic>
                          </a:graphicData>
                        </a:graphic>
                      </wp:inline>
                    </w:drawing>
                  </w:r>
                </w:p>
              </w:tc>
            </w:tr>
          </w:tbl>
          <w:p w:rsidR="00DB6964" w:rsidRPr="00407805" w:rsidRDefault="00DB6964" w:rsidP="00DB6964">
            <w:pPr>
              <w:spacing w:after="0" w:line="336" w:lineRule="auto"/>
              <w:rPr>
                <w:rFonts w:eastAsia="Times New Roman" w:cs="Times New Roman"/>
                <w:color w:val="333333"/>
                <w:sz w:val="20"/>
                <w:szCs w:val="20"/>
              </w:rPr>
            </w:pPr>
          </w:p>
        </w:tc>
      </w:tr>
    </w:tbl>
    <w:p w:rsidR="00DB6964" w:rsidRPr="00407805" w:rsidRDefault="00DB6964">
      <w:pPr>
        <w:rPr>
          <w:sz w:val="20"/>
          <w:szCs w:val="20"/>
        </w:rPr>
      </w:pPr>
    </w:p>
    <w:p w:rsidR="00DB6964" w:rsidRPr="00407805" w:rsidRDefault="00DB6964">
      <w:pPr>
        <w:rPr>
          <w:sz w:val="20"/>
          <w:szCs w:val="20"/>
        </w:rPr>
      </w:pPr>
    </w:p>
    <w:tbl>
      <w:tblPr>
        <w:tblW w:w="5000" w:type="pct"/>
        <w:tblCellSpacing w:w="0" w:type="dxa"/>
        <w:tblCellMar>
          <w:left w:w="0" w:type="dxa"/>
          <w:right w:w="0" w:type="dxa"/>
        </w:tblCellMar>
        <w:tblLook w:val="04A0"/>
      </w:tblPr>
      <w:tblGrid>
        <w:gridCol w:w="1648"/>
        <w:gridCol w:w="8912"/>
        <w:gridCol w:w="300"/>
        <w:gridCol w:w="2100"/>
      </w:tblGrid>
      <w:tr w:rsidR="00DB6964" w:rsidRPr="00407805" w:rsidTr="00407805">
        <w:trPr>
          <w:tblCellSpacing w:w="0" w:type="dxa"/>
        </w:trPr>
        <w:tc>
          <w:tcPr>
            <w:tcW w:w="10560" w:type="dxa"/>
            <w:gridSpan w:val="2"/>
            <w:hideMark/>
          </w:tcPr>
          <w:tbl>
            <w:tblPr>
              <w:tblW w:w="0" w:type="auto"/>
              <w:tblCellSpacing w:w="0" w:type="dxa"/>
              <w:tblCellMar>
                <w:left w:w="0" w:type="dxa"/>
                <w:right w:w="0" w:type="dxa"/>
              </w:tblCellMar>
              <w:tblLook w:val="04A0"/>
            </w:tblPr>
            <w:tblGrid>
              <w:gridCol w:w="1751"/>
            </w:tblGrid>
            <w:tr w:rsidR="00DB6964" w:rsidRPr="00407805">
              <w:trPr>
                <w:tblCellSpacing w:w="0" w:type="dxa"/>
              </w:trPr>
              <w:tc>
                <w:tcPr>
                  <w:tcW w:w="5000" w:type="pct"/>
                  <w:vAlign w:val="center"/>
                  <w:hideMark/>
                </w:tcPr>
                <w:p w:rsidR="00DB6964" w:rsidRPr="00407805" w:rsidRDefault="00DB6964" w:rsidP="00DB6964">
                  <w:pPr>
                    <w:spacing w:after="0" w:line="336" w:lineRule="auto"/>
                    <w:rPr>
                      <w:rFonts w:eastAsia="Times New Roman" w:cs="Times New Roman"/>
                      <w:color w:val="333333"/>
                      <w:sz w:val="20"/>
                      <w:szCs w:val="20"/>
                    </w:rPr>
                  </w:pPr>
                  <w:r w:rsidRPr="00407805">
                    <w:rPr>
                      <w:rFonts w:eastAsia="Times New Roman" w:cs="Times New Roman"/>
                      <w:color w:val="730000"/>
                      <w:sz w:val="20"/>
                      <w:szCs w:val="20"/>
                    </w:rPr>
                    <w:lastRenderedPageBreak/>
                    <w:t>Bowen Hills, Brisbane</w:t>
                  </w:r>
                </w:p>
              </w:tc>
            </w:tr>
          </w:tbl>
          <w:p w:rsidR="00DB6964" w:rsidRPr="00407805" w:rsidRDefault="00DB6964" w:rsidP="00DB6964">
            <w:pPr>
              <w:spacing w:after="0" w:line="336" w:lineRule="auto"/>
              <w:rPr>
                <w:rFonts w:eastAsia="Times New Roman" w:cs="Times New Roman"/>
                <w:color w:val="333333"/>
                <w:sz w:val="20"/>
                <w:szCs w:val="20"/>
              </w:rPr>
            </w:pPr>
            <w:bookmarkStart w:id="2" w:name="41"/>
            <w:bookmarkEnd w:id="2"/>
          </w:p>
          <w:tbl>
            <w:tblPr>
              <w:tblW w:w="0" w:type="auto"/>
              <w:tblCellSpacing w:w="0" w:type="dxa"/>
              <w:tblCellMar>
                <w:left w:w="0" w:type="dxa"/>
                <w:right w:w="0" w:type="dxa"/>
              </w:tblCellMar>
              <w:tblLook w:val="04A0"/>
            </w:tblPr>
            <w:tblGrid>
              <w:gridCol w:w="10560"/>
            </w:tblGrid>
            <w:tr w:rsidR="00DB6964" w:rsidRPr="00407805">
              <w:trPr>
                <w:tblCellSpacing w:w="0" w:type="dxa"/>
              </w:trPr>
              <w:tc>
                <w:tcPr>
                  <w:tcW w:w="0" w:type="auto"/>
                  <w:vAlign w:val="center"/>
                  <w:hideMark/>
                </w:tcPr>
                <w:tbl>
                  <w:tblPr>
                    <w:tblW w:w="0" w:type="auto"/>
                    <w:tblCellSpacing w:w="0" w:type="dxa"/>
                    <w:tblCellMar>
                      <w:left w:w="0" w:type="dxa"/>
                      <w:right w:w="0" w:type="dxa"/>
                    </w:tblCellMar>
                    <w:tblLook w:val="04A0"/>
                  </w:tblPr>
                  <w:tblGrid>
                    <w:gridCol w:w="7980"/>
                  </w:tblGrid>
                  <w:tr w:rsidR="00DB6964" w:rsidRPr="00407805">
                    <w:trPr>
                      <w:tblCellSpacing w:w="0" w:type="dxa"/>
                    </w:trPr>
                    <w:tc>
                      <w:tcPr>
                        <w:tcW w:w="0" w:type="auto"/>
                        <w:vAlign w:val="center"/>
                        <w:hideMark/>
                      </w:tcPr>
                      <w:p w:rsidR="00DB6964" w:rsidRPr="00407805" w:rsidRDefault="00DB6964" w:rsidP="00DB6964">
                        <w:pPr>
                          <w:spacing w:after="0" w:line="336" w:lineRule="auto"/>
                          <w:rPr>
                            <w:rFonts w:eastAsia="Times New Roman" w:cs="Times New Roman"/>
                            <w:color w:val="333333"/>
                            <w:sz w:val="20"/>
                            <w:szCs w:val="20"/>
                          </w:rPr>
                        </w:pPr>
                        <w:r w:rsidRPr="00407805">
                          <w:rPr>
                            <w:rFonts w:eastAsia="Times New Roman" w:cs="Times New Roman"/>
                            <w:noProof/>
                            <w:color w:val="333333"/>
                            <w:sz w:val="20"/>
                            <w:szCs w:val="20"/>
                          </w:rPr>
                          <w:drawing>
                            <wp:inline distT="0" distB="0" distL="0" distR="0">
                              <wp:extent cx="5046345" cy="2379345"/>
                              <wp:effectExtent l="19050" t="0" r="1905" b="0"/>
                              <wp:docPr id="23" name="Picture 23" descr="Bowen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wen Hills"/>
                                      <pic:cNvPicPr>
                                        <a:picLocks noChangeAspect="1" noChangeArrowheads="1"/>
                                      </pic:cNvPicPr>
                                    </pic:nvPicPr>
                                    <pic:blipFill>
                                      <a:blip r:embed="rId13" cstate="print"/>
                                      <a:srcRect/>
                                      <a:stretch>
                                        <a:fillRect/>
                                      </a:stretch>
                                    </pic:blipFill>
                                    <pic:spPr bwMode="auto">
                                      <a:xfrm>
                                        <a:off x="0" y="0"/>
                                        <a:ext cx="5046345" cy="2379345"/>
                                      </a:xfrm>
                                      <a:prstGeom prst="rect">
                                        <a:avLst/>
                                      </a:prstGeom>
                                      <a:noFill/>
                                      <a:ln w="9525">
                                        <a:noFill/>
                                        <a:miter lim="800000"/>
                                        <a:headEnd/>
                                        <a:tailEnd/>
                                      </a:ln>
                                    </pic:spPr>
                                  </pic:pic>
                                </a:graphicData>
                              </a:graphic>
                            </wp:inline>
                          </w:drawing>
                        </w:r>
                      </w:p>
                    </w:tc>
                  </w:tr>
                  <w:tr w:rsidR="00DB6964" w:rsidRPr="00407805">
                    <w:trPr>
                      <w:tblCellSpacing w:w="0" w:type="dxa"/>
                    </w:trPr>
                    <w:tc>
                      <w:tcPr>
                        <w:tcW w:w="7950" w:type="dxa"/>
                        <w:tcMar>
                          <w:top w:w="67" w:type="dxa"/>
                          <w:left w:w="0" w:type="dxa"/>
                          <w:bottom w:w="0" w:type="dxa"/>
                          <w:right w:w="0" w:type="dxa"/>
                        </w:tcMar>
                        <w:vAlign w:val="center"/>
                        <w:hideMark/>
                      </w:tcPr>
                      <w:p w:rsidR="00DB6964" w:rsidRPr="00407805" w:rsidRDefault="00DB6964" w:rsidP="00DB6964">
                        <w:pPr>
                          <w:spacing w:after="0" w:line="147" w:lineRule="atLeast"/>
                          <w:rPr>
                            <w:rFonts w:eastAsia="Times New Roman" w:cs="Times New Roman"/>
                            <w:i/>
                            <w:iCs/>
                            <w:color w:val="333333"/>
                            <w:sz w:val="20"/>
                            <w:szCs w:val="20"/>
                          </w:rPr>
                        </w:pPr>
                      </w:p>
                    </w:tc>
                  </w:tr>
                </w:tbl>
                <w:p w:rsidR="00DB6964" w:rsidRPr="00407805" w:rsidRDefault="00DB6964" w:rsidP="00DB6964">
                  <w:pPr>
                    <w:spacing w:after="0" w:line="336" w:lineRule="auto"/>
                    <w:rPr>
                      <w:rFonts w:eastAsia="Times New Roman" w:cs="Times New Roman"/>
                      <w:color w:val="333333"/>
                      <w:sz w:val="20"/>
                      <w:szCs w:val="20"/>
                    </w:rPr>
                  </w:pPr>
                </w:p>
              </w:tc>
            </w:tr>
            <w:tr w:rsidR="00DB6964" w:rsidRPr="00407805">
              <w:trPr>
                <w:tblCellSpacing w:w="0" w:type="dxa"/>
              </w:trPr>
              <w:tc>
                <w:tcPr>
                  <w:tcW w:w="0" w:type="auto"/>
                  <w:vAlign w:val="center"/>
                  <w:hideMark/>
                </w:tcPr>
                <w:p w:rsidR="00DB6964" w:rsidRDefault="00DB6964" w:rsidP="00DB6964">
                  <w:pPr>
                    <w:spacing w:after="240" w:line="336" w:lineRule="auto"/>
                    <w:rPr>
                      <w:rFonts w:eastAsia="Times New Roman" w:cs="Times New Roman"/>
                      <w:color w:val="333333"/>
                      <w:sz w:val="20"/>
                      <w:szCs w:val="20"/>
                    </w:rPr>
                  </w:pPr>
                  <w:bookmarkStart w:id="3" w:name="132"/>
                  <w:bookmarkEnd w:id="3"/>
                  <w:r w:rsidRPr="00407805">
                    <w:rPr>
                      <w:rFonts w:eastAsia="Times New Roman" w:cs="Times New Roman"/>
                      <w:color w:val="333333"/>
                      <w:sz w:val="20"/>
                      <w:szCs w:val="20"/>
                    </w:rPr>
                    <w:t xml:space="preserve">Located three </w:t>
                  </w:r>
                  <w:proofErr w:type="spellStart"/>
                  <w:r w:rsidRPr="00407805">
                    <w:rPr>
                      <w:rFonts w:eastAsia="Times New Roman" w:cs="Times New Roman"/>
                      <w:color w:val="333333"/>
                      <w:sz w:val="20"/>
                      <w:szCs w:val="20"/>
                    </w:rPr>
                    <w:t>kilometres</w:t>
                  </w:r>
                  <w:proofErr w:type="spellEnd"/>
                  <w:r w:rsidRPr="00407805">
                    <w:rPr>
                      <w:rFonts w:eastAsia="Times New Roman" w:cs="Times New Roman"/>
                      <w:color w:val="333333"/>
                      <w:sz w:val="20"/>
                      <w:szCs w:val="20"/>
                    </w:rPr>
                    <w:t xml:space="preserve"> from the Brisbane CBD, the Bowen Hills Urban Development Area (UDA) covers 108-hectares of land in the inner northern suburb of Bowen Hills.</w:t>
                  </w:r>
                  <w:r w:rsidRPr="00407805">
                    <w:rPr>
                      <w:rFonts w:eastAsia="Times New Roman" w:cs="Times New Roman"/>
                      <w:color w:val="333333"/>
                      <w:sz w:val="20"/>
                      <w:szCs w:val="20"/>
                    </w:rPr>
                    <w:br/>
                  </w:r>
                  <w:r w:rsidRPr="00407805">
                    <w:rPr>
                      <w:rFonts w:eastAsia="Times New Roman" w:cs="Times New Roman"/>
                      <w:color w:val="333333"/>
                      <w:sz w:val="20"/>
                      <w:szCs w:val="20"/>
                    </w:rPr>
                    <w:br/>
                    <w:t xml:space="preserve">The Bowen Hills UDA is located east of the Royal Brisbane and Women’s Hospital, south of the inner city bypass and </w:t>
                  </w:r>
                  <w:proofErr w:type="spellStart"/>
                  <w:r w:rsidRPr="00407805">
                    <w:rPr>
                      <w:rFonts w:eastAsia="Times New Roman" w:cs="Times New Roman"/>
                      <w:color w:val="333333"/>
                      <w:sz w:val="20"/>
                      <w:szCs w:val="20"/>
                    </w:rPr>
                    <w:t>Enoggera</w:t>
                  </w:r>
                  <w:proofErr w:type="spellEnd"/>
                  <w:r w:rsidRPr="00407805">
                    <w:rPr>
                      <w:rFonts w:eastAsia="Times New Roman" w:cs="Times New Roman"/>
                      <w:color w:val="333333"/>
                      <w:sz w:val="20"/>
                      <w:szCs w:val="20"/>
                    </w:rPr>
                    <w:t xml:space="preserve"> Creek and north of Brunswick Street. Landmark places within the UDA include the RNA </w:t>
                  </w:r>
                  <w:proofErr w:type="spellStart"/>
                  <w:r w:rsidRPr="00407805">
                    <w:rPr>
                      <w:rFonts w:eastAsia="Times New Roman" w:cs="Times New Roman"/>
                      <w:color w:val="333333"/>
                      <w:sz w:val="20"/>
                      <w:szCs w:val="20"/>
                    </w:rPr>
                    <w:t>Showgrounds</w:t>
                  </w:r>
                  <w:proofErr w:type="spellEnd"/>
                  <w:r w:rsidRPr="00407805">
                    <w:rPr>
                      <w:rFonts w:eastAsia="Times New Roman" w:cs="Times New Roman"/>
                      <w:color w:val="333333"/>
                      <w:sz w:val="20"/>
                      <w:szCs w:val="20"/>
                    </w:rPr>
                    <w:t>, the Old Museum, Perry Park and the Bowen Hills Railway Station.</w:t>
                  </w:r>
                  <w:r w:rsidRPr="00407805">
                    <w:rPr>
                      <w:rFonts w:eastAsia="Times New Roman" w:cs="Times New Roman"/>
                      <w:color w:val="333333"/>
                      <w:sz w:val="20"/>
                      <w:szCs w:val="20"/>
                    </w:rPr>
                    <w:br/>
                  </w:r>
                  <w:r w:rsidRPr="00407805">
                    <w:rPr>
                      <w:rFonts w:eastAsia="Times New Roman" w:cs="Times New Roman"/>
                      <w:color w:val="333333"/>
                      <w:sz w:val="20"/>
                      <w:szCs w:val="20"/>
                    </w:rPr>
                    <w:br/>
                    <w:t>Bowen Hills is also a site for an inner-city Transport-Oriented Development (TOD) demonstration project. TOD involves building high quality, medium-to-high density residential and commercial developments within walking distance of public transport.</w:t>
                  </w:r>
                </w:p>
                <w:p w:rsidR="00CD75B3" w:rsidRDefault="00CD75B3" w:rsidP="00DB6964">
                  <w:pPr>
                    <w:spacing w:after="240" w:line="336" w:lineRule="auto"/>
                    <w:rPr>
                      <w:rFonts w:eastAsia="Times New Roman" w:cs="Times New Roman"/>
                      <w:color w:val="333333"/>
                      <w:sz w:val="20"/>
                      <w:szCs w:val="20"/>
                    </w:rPr>
                  </w:pPr>
                </w:p>
                <w:p w:rsidR="00CD75B3" w:rsidRPr="00407805" w:rsidRDefault="00CD75B3" w:rsidP="00DB6964">
                  <w:pPr>
                    <w:spacing w:after="240" w:line="336" w:lineRule="auto"/>
                    <w:rPr>
                      <w:rFonts w:eastAsia="Times New Roman" w:cs="Times New Roman"/>
                      <w:color w:val="333333"/>
                      <w:sz w:val="20"/>
                      <w:szCs w:val="20"/>
                    </w:rPr>
                  </w:pPr>
                </w:p>
              </w:tc>
            </w:tr>
          </w:tbl>
          <w:p w:rsidR="00DB6964" w:rsidRPr="00407805" w:rsidRDefault="00DB6964" w:rsidP="00DB6964">
            <w:pPr>
              <w:spacing w:after="0" w:line="336" w:lineRule="auto"/>
              <w:rPr>
                <w:rFonts w:eastAsia="Times New Roman" w:cs="Times New Roman"/>
                <w:color w:val="333333"/>
                <w:sz w:val="20"/>
                <w:szCs w:val="20"/>
              </w:rPr>
            </w:pPr>
          </w:p>
        </w:tc>
        <w:tc>
          <w:tcPr>
            <w:tcW w:w="300" w:type="dxa"/>
            <w:hideMark/>
          </w:tcPr>
          <w:p w:rsidR="00DB6964" w:rsidRPr="00407805" w:rsidRDefault="00DB6964" w:rsidP="00DB6964">
            <w:pPr>
              <w:spacing w:after="0" w:line="336" w:lineRule="auto"/>
              <w:rPr>
                <w:rFonts w:eastAsia="Times New Roman" w:cs="Times New Roman"/>
                <w:color w:val="333333"/>
                <w:sz w:val="20"/>
                <w:szCs w:val="20"/>
              </w:rPr>
            </w:pPr>
            <w:r w:rsidRPr="00407805">
              <w:rPr>
                <w:rFonts w:eastAsia="Times New Roman" w:cs="Times New Roman"/>
                <w:noProof/>
                <w:color w:val="333333"/>
                <w:sz w:val="20"/>
                <w:szCs w:val="20"/>
              </w:rPr>
              <w:drawing>
                <wp:inline distT="0" distB="0" distL="0" distR="0">
                  <wp:extent cx="186055" cy="186055"/>
                  <wp:effectExtent l="0" t="0" r="0" b="0"/>
                  <wp:docPr id="24" name="Picture 24"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lda.qld.gov.au/00_graphics/spacer.gif"/>
                          <pic:cNvPicPr>
                            <a:picLocks noChangeAspect="1" noChangeArrowheads="1"/>
                          </pic:cNvPicPr>
                        </pic:nvPicPr>
                        <pic:blipFill>
                          <a:blip r:embed="rId7"/>
                          <a:srcRect/>
                          <a:stretch>
                            <a:fillRect/>
                          </a:stretch>
                        </pic:blipFill>
                        <pic:spPr bwMode="auto">
                          <a:xfrm>
                            <a:off x="0" y="0"/>
                            <a:ext cx="186055" cy="186055"/>
                          </a:xfrm>
                          <a:prstGeom prst="rect">
                            <a:avLst/>
                          </a:prstGeom>
                          <a:noFill/>
                          <a:ln w="9525">
                            <a:noFill/>
                            <a:miter lim="800000"/>
                            <a:headEnd/>
                            <a:tailEnd/>
                          </a:ln>
                        </pic:spPr>
                      </pic:pic>
                    </a:graphicData>
                  </a:graphic>
                </wp:inline>
              </w:drawing>
            </w:r>
          </w:p>
        </w:tc>
        <w:tc>
          <w:tcPr>
            <w:tcW w:w="2100" w:type="dxa"/>
            <w:hideMark/>
          </w:tcPr>
          <w:p w:rsidR="00DB6964" w:rsidRPr="00407805" w:rsidRDefault="00DB6964" w:rsidP="00DB6964">
            <w:pPr>
              <w:spacing w:after="0" w:line="336" w:lineRule="auto"/>
              <w:rPr>
                <w:rFonts w:eastAsia="Times New Roman" w:cs="Times New Roman"/>
                <w:color w:val="333333"/>
                <w:sz w:val="20"/>
                <w:szCs w:val="20"/>
              </w:rPr>
            </w:pPr>
            <w:r w:rsidRPr="00407805">
              <w:rPr>
                <w:rFonts w:eastAsia="Times New Roman" w:cs="Times New Roman"/>
                <w:noProof/>
                <w:color w:val="333333"/>
                <w:sz w:val="20"/>
                <w:szCs w:val="20"/>
              </w:rPr>
              <w:drawing>
                <wp:inline distT="0" distB="0" distL="0" distR="0">
                  <wp:extent cx="287655" cy="287655"/>
                  <wp:effectExtent l="0" t="0" r="0" b="0"/>
                  <wp:docPr id="25" name="Picture 25"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lda.qld.gov.au/00_graphics/spacer.gif"/>
                          <pic:cNvPicPr>
                            <a:picLocks noChangeAspect="1" noChangeArrowheads="1"/>
                          </pic:cNvPicPr>
                        </pic:nvPicPr>
                        <pic:blipFill>
                          <a:blip r:embed="rId7"/>
                          <a:srcRect/>
                          <a:stretch>
                            <a:fillRect/>
                          </a:stretch>
                        </pic:blipFill>
                        <pic:spPr bwMode="auto">
                          <a:xfrm>
                            <a:off x="0" y="0"/>
                            <a:ext cx="287655" cy="287655"/>
                          </a:xfrm>
                          <a:prstGeom prst="rect">
                            <a:avLst/>
                          </a:prstGeom>
                          <a:noFill/>
                          <a:ln w="9525">
                            <a:noFill/>
                            <a:miter lim="800000"/>
                            <a:headEnd/>
                            <a:tailEnd/>
                          </a:ln>
                        </pic:spPr>
                      </pic:pic>
                    </a:graphicData>
                  </a:graphic>
                </wp:inline>
              </w:drawing>
            </w:r>
          </w:p>
          <w:tbl>
            <w:tblPr>
              <w:tblW w:w="2100" w:type="dxa"/>
              <w:tblCellSpacing w:w="0" w:type="dxa"/>
              <w:tblCellMar>
                <w:left w:w="0" w:type="dxa"/>
                <w:right w:w="0" w:type="dxa"/>
              </w:tblCellMar>
              <w:tblLook w:val="04A0"/>
            </w:tblPr>
            <w:tblGrid>
              <w:gridCol w:w="2100"/>
            </w:tblGrid>
            <w:tr w:rsidR="00DB6964" w:rsidRPr="00407805">
              <w:trPr>
                <w:tblCellSpacing w:w="0" w:type="dxa"/>
              </w:trPr>
              <w:tc>
                <w:tcPr>
                  <w:tcW w:w="0" w:type="auto"/>
                  <w:vAlign w:val="center"/>
                  <w:hideMark/>
                </w:tcPr>
                <w:p w:rsidR="00DB6964" w:rsidRPr="00407805" w:rsidRDefault="002B7D39" w:rsidP="00DB6964">
                  <w:pPr>
                    <w:spacing w:after="0" w:line="336" w:lineRule="auto"/>
                    <w:rPr>
                      <w:rFonts w:eastAsia="Times New Roman" w:cs="Times New Roman"/>
                      <w:color w:val="333333"/>
                      <w:sz w:val="20"/>
                      <w:szCs w:val="20"/>
                    </w:rPr>
                  </w:pPr>
                  <w:hyperlink r:id="rId14" w:tgtFrame="_blank" w:history="1">
                    <w:r w:rsidR="00DB6964" w:rsidRPr="00407805">
                      <w:rPr>
                        <w:rFonts w:eastAsia="Times New Roman" w:cs="Times New Roman"/>
                        <w:b/>
                        <w:bCs/>
                        <w:color w:val="730000"/>
                        <w:sz w:val="20"/>
                        <w:szCs w:val="20"/>
                      </w:rPr>
                      <w:t>Bowen Hills Community Newsletter 3</w:t>
                    </w:r>
                  </w:hyperlink>
                  <w:r w:rsidR="00DB6964" w:rsidRPr="00407805">
                    <w:rPr>
                      <w:rFonts w:eastAsia="Times New Roman" w:cs="Times New Roman"/>
                      <w:color w:val="333333"/>
                      <w:sz w:val="20"/>
                      <w:szCs w:val="20"/>
                    </w:rPr>
                    <w:br/>
                    <w:t>PDF 220KB </w:t>
                  </w:r>
                  <w:r w:rsidR="00DB6964" w:rsidRPr="00407805">
                    <w:rPr>
                      <w:rFonts w:eastAsia="Times New Roman" w:cs="Times New Roman"/>
                      <w:noProof/>
                      <w:color w:val="730000"/>
                      <w:sz w:val="20"/>
                      <w:szCs w:val="20"/>
                    </w:rPr>
                    <w:drawing>
                      <wp:inline distT="0" distB="0" distL="0" distR="0">
                        <wp:extent cx="93345" cy="67945"/>
                        <wp:effectExtent l="0" t="0" r="1905" b="0"/>
                        <wp:docPr id="26" name="Picture 26" descr="http://www.ulda.qld.gov.au/00_graphics/but_more.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lda.qld.gov.au/00_graphics/but_more.gif">
                                  <a:hlinkClick r:id="rId14" tgtFrame="_blank"/>
                                </pic:cNvPr>
                                <pic:cNvPicPr>
                                  <a:picLocks noChangeAspect="1" noChangeArrowheads="1"/>
                                </pic:cNvPicPr>
                              </pic:nvPicPr>
                              <pic:blipFill>
                                <a:blip r:embed="rId9" cstate="print"/>
                                <a:srcRect/>
                                <a:stretch>
                                  <a:fillRect/>
                                </a:stretch>
                              </pic:blipFill>
                              <pic:spPr bwMode="auto">
                                <a:xfrm>
                                  <a:off x="0" y="0"/>
                                  <a:ext cx="93345" cy="67945"/>
                                </a:xfrm>
                                <a:prstGeom prst="rect">
                                  <a:avLst/>
                                </a:prstGeom>
                                <a:noFill/>
                                <a:ln w="9525">
                                  <a:noFill/>
                                  <a:miter lim="800000"/>
                                  <a:headEnd/>
                                  <a:tailEnd/>
                                </a:ln>
                              </pic:spPr>
                            </pic:pic>
                          </a:graphicData>
                        </a:graphic>
                      </wp:inline>
                    </w:drawing>
                  </w:r>
                  <w:r w:rsidR="00DB6964" w:rsidRPr="00407805">
                    <w:rPr>
                      <w:rFonts w:eastAsia="Times New Roman" w:cs="Times New Roman"/>
                      <w:color w:val="333333"/>
                      <w:sz w:val="20"/>
                      <w:szCs w:val="20"/>
                    </w:rPr>
                    <w:br/>
                  </w:r>
                  <w:r w:rsidR="00DB6964" w:rsidRPr="00407805">
                    <w:rPr>
                      <w:rFonts w:eastAsia="Times New Roman" w:cs="Times New Roman"/>
                      <w:noProof/>
                      <w:color w:val="333333"/>
                      <w:sz w:val="20"/>
                      <w:szCs w:val="20"/>
                    </w:rPr>
                    <w:drawing>
                      <wp:inline distT="0" distB="0" distL="0" distR="0">
                        <wp:extent cx="8255" cy="93345"/>
                        <wp:effectExtent l="0" t="0" r="0" b="0"/>
                        <wp:docPr id="27" name="Picture 27"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lda.qld.gov.au/00_graphics/spacer.gif"/>
                                <pic:cNvPicPr>
                                  <a:picLocks noChangeAspect="1" noChangeArrowheads="1"/>
                                </pic:cNvPicPr>
                              </pic:nvPicPr>
                              <pic:blipFill>
                                <a:blip r:embed="rId7"/>
                                <a:srcRect/>
                                <a:stretch>
                                  <a:fillRect/>
                                </a:stretch>
                              </pic:blipFill>
                              <pic:spPr bwMode="auto">
                                <a:xfrm>
                                  <a:off x="0" y="0"/>
                                  <a:ext cx="8255" cy="93345"/>
                                </a:xfrm>
                                <a:prstGeom prst="rect">
                                  <a:avLst/>
                                </a:prstGeom>
                                <a:noFill/>
                                <a:ln w="9525">
                                  <a:noFill/>
                                  <a:miter lim="800000"/>
                                  <a:headEnd/>
                                  <a:tailEnd/>
                                </a:ln>
                              </pic:spPr>
                            </pic:pic>
                          </a:graphicData>
                        </a:graphic>
                      </wp:inline>
                    </w:drawing>
                  </w:r>
                </w:p>
              </w:tc>
            </w:tr>
            <w:tr w:rsidR="00DB6964" w:rsidRPr="00407805">
              <w:trPr>
                <w:tblCellSpacing w:w="0" w:type="dxa"/>
              </w:trPr>
              <w:tc>
                <w:tcPr>
                  <w:tcW w:w="0" w:type="auto"/>
                  <w:vAlign w:val="center"/>
                  <w:hideMark/>
                </w:tcPr>
                <w:p w:rsidR="00DB6964" w:rsidRPr="00407805" w:rsidRDefault="002B7D39" w:rsidP="00DB6964">
                  <w:pPr>
                    <w:spacing w:after="0" w:line="336" w:lineRule="auto"/>
                    <w:rPr>
                      <w:rFonts w:eastAsia="Times New Roman" w:cs="Times New Roman"/>
                      <w:color w:val="333333"/>
                      <w:sz w:val="20"/>
                      <w:szCs w:val="20"/>
                    </w:rPr>
                  </w:pPr>
                  <w:hyperlink r:id="rId15" w:tgtFrame="_blank" w:history="1">
                    <w:r w:rsidR="00DB6964" w:rsidRPr="00407805">
                      <w:rPr>
                        <w:rFonts w:eastAsia="Times New Roman" w:cs="Times New Roman"/>
                        <w:b/>
                        <w:bCs/>
                        <w:color w:val="730000"/>
                        <w:sz w:val="20"/>
                        <w:szCs w:val="20"/>
                      </w:rPr>
                      <w:t>Bowen Hills Community Newsletter 2</w:t>
                    </w:r>
                  </w:hyperlink>
                  <w:r w:rsidR="00DB6964" w:rsidRPr="00407805">
                    <w:rPr>
                      <w:rFonts w:eastAsia="Times New Roman" w:cs="Times New Roman"/>
                      <w:color w:val="333333"/>
                      <w:sz w:val="20"/>
                      <w:szCs w:val="20"/>
                    </w:rPr>
                    <w:br/>
                    <w:t>PDF 554KB </w:t>
                  </w:r>
                  <w:r w:rsidR="00DB6964" w:rsidRPr="00407805">
                    <w:rPr>
                      <w:rFonts w:eastAsia="Times New Roman" w:cs="Times New Roman"/>
                      <w:noProof/>
                      <w:color w:val="730000"/>
                      <w:sz w:val="20"/>
                      <w:szCs w:val="20"/>
                    </w:rPr>
                    <w:drawing>
                      <wp:inline distT="0" distB="0" distL="0" distR="0">
                        <wp:extent cx="93345" cy="67945"/>
                        <wp:effectExtent l="0" t="0" r="1905" b="0"/>
                        <wp:docPr id="28" name="Picture 28" descr="http://www.ulda.qld.gov.au/00_graphics/but_more.gif">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lda.qld.gov.au/00_graphics/but_more.gif">
                                  <a:hlinkClick r:id="rId15" tgtFrame="_blank"/>
                                </pic:cNvPr>
                                <pic:cNvPicPr>
                                  <a:picLocks noChangeAspect="1" noChangeArrowheads="1"/>
                                </pic:cNvPicPr>
                              </pic:nvPicPr>
                              <pic:blipFill>
                                <a:blip r:embed="rId9" cstate="print"/>
                                <a:srcRect/>
                                <a:stretch>
                                  <a:fillRect/>
                                </a:stretch>
                              </pic:blipFill>
                              <pic:spPr bwMode="auto">
                                <a:xfrm>
                                  <a:off x="0" y="0"/>
                                  <a:ext cx="93345" cy="67945"/>
                                </a:xfrm>
                                <a:prstGeom prst="rect">
                                  <a:avLst/>
                                </a:prstGeom>
                                <a:noFill/>
                                <a:ln w="9525">
                                  <a:noFill/>
                                  <a:miter lim="800000"/>
                                  <a:headEnd/>
                                  <a:tailEnd/>
                                </a:ln>
                              </pic:spPr>
                            </pic:pic>
                          </a:graphicData>
                        </a:graphic>
                      </wp:inline>
                    </w:drawing>
                  </w:r>
                  <w:r w:rsidR="00DB6964" w:rsidRPr="00407805">
                    <w:rPr>
                      <w:rFonts w:eastAsia="Times New Roman" w:cs="Times New Roman"/>
                      <w:color w:val="333333"/>
                      <w:sz w:val="20"/>
                      <w:szCs w:val="20"/>
                    </w:rPr>
                    <w:br/>
                  </w:r>
                  <w:r w:rsidR="00DB6964" w:rsidRPr="00407805">
                    <w:rPr>
                      <w:rFonts w:eastAsia="Times New Roman" w:cs="Times New Roman"/>
                      <w:noProof/>
                      <w:color w:val="333333"/>
                      <w:sz w:val="20"/>
                      <w:szCs w:val="20"/>
                    </w:rPr>
                    <w:drawing>
                      <wp:inline distT="0" distB="0" distL="0" distR="0">
                        <wp:extent cx="8255" cy="93345"/>
                        <wp:effectExtent l="0" t="0" r="0" b="0"/>
                        <wp:docPr id="29" name="Picture 29"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lda.qld.gov.au/00_graphics/spacer.gif"/>
                                <pic:cNvPicPr>
                                  <a:picLocks noChangeAspect="1" noChangeArrowheads="1"/>
                                </pic:cNvPicPr>
                              </pic:nvPicPr>
                              <pic:blipFill>
                                <a:blip r:embed="rId7"/>
                                <a:srcRect/>
                                <a:stretch>
                                  <a:fillRect/>
                                </a:stretch>
                              </pic:blipFill>
                              <pic:spPr bwMode="auto">
                                <a:xfrm>
                                  <a:off x="0" y="0"/>
                                  <a:ext cx="8255" cy="93345"/>
                                </a:xfrm>
                                <a:prstGeom prst="rect">
                                  <a:avLst/>
                                </a:prstGeom>
                                <a:noFill/>
                                <a:ln w="9525">
                                  <a:noFill/>
                                  <a:miter lim="800000"/>
                                  <a:headEnd/>
                                  <a:tailEnd/>
                                </a:ln>
                              </pic:spPr>
                            </pic:pic>
                          </a:graphicData>
                        </a:graphic>
                      </wp:inline>
                    </w:drawing>
                  </w:r>
                </w:p>
              </w:tc>
            </w:tr>
            <w:tr w:rsidR="00DB6964" w:rsidRPr="00407805">
              <w:trPr>
                <w:tblCellSpacing w:w="0" w:type="dxa"/>
              </w:trPr>
              <w:tc>
                <w:tcPr>
                  <w:tcW w:w="0" w:type="auto"/>
                  <w:vAlign w:val="center"/>
                  <w:hideMark/>
                </w:tcPr>
                <w:p w:rsidR="00DB6964" w:rsidRPr="00407805" w:rsidRDefault="002B7D39" w:rsidP="00DB6964">
                  <w:pPr>
                    <w:spacing w:after="0" w:line="336" w:lineRule="auto"/>
                    <w:rPr>
                      <w:rFonts w:eastAsia="Times New Roman" w:cs="Times New Roman"/>
                      <w:color w:val="333333"/>
                      <w:sz w:val="20"/>
                      <w:szCs w:val="20"/>
                    </w:rPr>
                  </w:pPr>
                  <w:hyperlink r:id="rId16" w:tgtFrame="_blank" w:history="1">
                    <w:r w:rsidR="00DB6964" w:rsidRPr="00407805">
                      <w:rPr>
                        <w:rFonts w:eastAsia="Times New Roman" w:cs="Times New Roman"/>
                        <w:b/>
                        <w:bCs/>
                        <w:color w:val="730000"/>
                        <w:sz w:val="20"/>
                        <w:szCs w:val="20"/>
                      </w:rPr>
                      <w:t>Bowen Hills Community Newsletter 1</w:t>
                    </w:r>
                  </w:hyperlink>
                  <w:r w:rsidR="00DB6964" w:rsidRPr="00407805">
                    <w:rPr>
                      <w:rFonts w:eastAsia="Times New Roman" w:cs="Times New Roman"/>
                      <w:color w:val="333333"/>
                      <w:sz w:val="20"/>
                      <w:szCs w:val="20"/>
                    </w:rPr>
                    <w:br/>
                    <w:t>PDF 846KB </w:t>
                  </w:r>
                  <w:r w:rsidR="00DB6964" w:rsidRPr="00407805">
                    <w:rPr>
                      <w:rFonts w:eastAsia="Times New Roman" w:cs="Times New Roman"/>
                      <w:noProof/>
                      <w:color w:val="730000"/>
                      <w:sz w:val="20"/>
                      <w:szCs w:val="20"/>
                    </w:rPr>
                    <w:drawing>
                      <wp:inline distT="0" distB="0" distL="0" distR="0">
                        <wp:extent cx="93345" cy="67945"/>
                        <wp:effectExtent l="0" t="0" r="1905" b="0"/>
                        <wp:docPr id="30" name="Picture 30" descr="http://www.ulda.qld.gov.au/00_graphics/but_more.gif">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lda.qld.gov.au/00_graphics/but_more.gif">
                                  <a:hlinkClick r:id="rId16" tgtFrame="_blank"/>
                                </pic:cNvPr>
                                <pic:cNvPicPr>
                                  <a:picLocks noChangeAspect="1" noChangeArrowheads="1"/>
                                </pic:cNvPicPr>
                              </pic:nvPicPr>
                              <pic:blipFill>
                                <a:blip r:embed="rId9" cstate="print"/>
                                <a:srcRect/>
                                <a:stretch>
                                  <a:fillRect/>
                                </a:stretch>
                              </pic:blipFill>
                              <pic:spPr bwMode="auto">
                                <a:xfrm>
                                  <a:off x="0" y="0"/>
                                  <a:ext cx="93345" cy="67945"/>
                                </a:xfrm>
                                <a:prstGeom prst="rect">
                                  <a:avLst/>
                                </a:prstGeom>
                                <a:noFill/>
                                <a:ln w="9525">
                                  <a:noFill/>
                                  <a:miter lim="800000"/>
                                  <a:headEnd/>
                                  <a:tailEnd/>
                                </a:ln>
                              </pic:spPr>
                            </pic:pic>
                          </a:graphicData>
                        </a:graphic>
                      </wp:inline>
                    </w:drawing>
                  </w:r>
                  <w:r w:rsidR="00DB6964" w:rsidRPr="00407805">
                    <w:rPr>
                      <w:rFonts w:eastAsia="Times New Roman" w:cs="Times New Roman"/>
                      <w:color w:val="333333"/>
                      <w:sz w:val="20"/>
                      <w:szCs w:val="20"/>
                    </w:rPr>
                    <w:br/>
                  </w:r>
                  <w:r w:rsidR="00DB6964" w:rsidRPr="00407805">
                    <w:rPr>
                      <w:rFonts w:eastAsia="Times New Roman" w:cs="Times New Roman"/>
                      <w:noProof/>
                      <w:color w:val="333333"/>
                      <w:sz w:val="20"/>
                      <w:szCs w:val="20"/>
                    </w:rPr>
                    <w:drawing>
                      <wp:inline distT="0" distB="0" distL="0" distR="0">
                        <wp:extent cx="8255" cy="93345"/>
                        <wp:effectExtent l="0" t="0" r="0" b="0"/>
                        <wp:docPr id="31" name="Picture 31"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lda.qld.gov.au/00_graphics/spacer.gif"/>
                                <pic:cNvPicPr>
                                  <a:picLocks noChangeAspect="1" noChangeArrowheads="1"/>
                                </pic:cNvPicPr>
                              </pic:nvPicPr>
                              <pic:blipFill>
                                <a:blip r:embed="rId7"/>
                                <a:srcRect/>
                                <a:stretch>
                                  <a:fillRect/>
                                </a:stretch>
                              </pic:blipFill>
                              <pic:spPr bwMode="auto">
                                <a:xfrm>
                                  <a:off x="0" y="0"/>
                                  <a:ext cx="8255" cy="93345"/>
                                </a:xfrm>
                                <a:prstGeom prst="rect">
                                  <a:avLst/>
                                </a:prstGeom>
                                <a:noFill/>
                                <a:ln w="9525">
                                  <a:noFill/>
                                  <a:miter lim="800000"/>
                                  <a:headEnd/>
                                  <a:tailEnd/>
                                </a:ln>
                              </pic:spPr>
                            </pic:pic>
                          </a:graphicData>
                        </a:graphic>
                      </wp:inline>
                    </w:drawing>
                  </w:r>
                </w:p>
              </w:tc>
            </w:tr>
            <w:tr w:rsidR="00DB6964" w:rsidRPr="00407805">
              <w:trPr>
                <w:tblCellSpacing w:w="0" w:type="dxa"/>
              </w:trPr>
              <w:tc>
                <w:tcPr>
                  <w:tcW w:w="0" w:type="auto"/>
                  <w:vAlign w:val="center"/>
                  <w:hideMark/>
                </w:tcPr>
                <w:p w:rsidR="00DB6964" w:rsidRPr="00407805" w:rsidRDefault="002B7D39" w:rsidP="00DB6964">
                  <w:pPr>
                    <w:spacing w:after="0" w:line="336" w:lineRule="auto"/>
                    <w:rPr>
                      <w:rFonts w:eastAsia="Times New Roman" w:cs="Times New Roman"/>
                      <w:color w:val="333333"/>
                      <w:sz w:val="20"/>
                      <w:szCs w:val="20"/>
                    </w:rPr>
                  </w:pPr>
                  <w:hyperlink r:id="rId17" w:tgtFrame="_blank" w:history="1">
                    <w:r w:rsidR="00DB6964" w:rsidRPr="00407805">
                      <w:rPr>
                        <w:rFonts w:eastAsia="Times New Roman" w:cs="Times New Roman"/>
                        <w:b/>
                        <w:bCs/>
                        <w:color w:val="730000"/>
                        <w:sz w:val="20"/>
                        <w:szCs w:val="20"/>
                      </w:rPr>
                      <w:t>Bowen Hills</w:t>
                    </w:r>
                  </w:hyperlink>
                  <w:r w:rsidR="00DB6964" w:rsidRPr="00407805">
                    <w:rPr>
                      <w:rFonts w:eastAsia="Times New Roman" w:cs="Times New Roman"/>
                      <w:color w:val="333333"/>
                      <w:sz w:val="20"/>
                      <w:szCs w:val="20"/>
                    </w:rPr>
                    <w:br/>
                    <w:t>Fact Sheet 5 PDF 4.07MB </w:t>
                  </w:r>
                  <w:r w:rsidR="00DB6964" w:rsidRPr="00407805">
                    <w:rPr>
                      <w:rFonts w:eastAsia="Times New Roman" w:cs="Times New Roman"/>
                      <w:noProof/>
                      <w:color w:val="730000"/>
                      <w:sz w:val="20"/>
                      <w:szCs w:val="20"/>
                    </w:rPr>
                    <w:drawing>
                      <wp:inline distT="0" distB="0" distL="0" distR="0">
                        <wp:extent cx="93345" cy="67945"/>
                        <wp:effectExtent l="0" t="0" r="1905" b="0"/>
                        <wp:docPr id="32" name="Picture 32" descr="http://www.ulda.qld.gov.au/00_graphics/but_more.gif">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lda.qld.gov.au/00_graphics/but_more.gif">
                                  <a:hlinkClick r:id="rId17" tgtFrame="_blank"/>
                                </pic:cNvPr>
                                <pic:cNvPicPr>
                                  <a:picLocks noChangeAspect="1" noChangeArrowheads="1"/>
                                </pic:cNvPicPr>
                              </pic:nvPicPr>
                              <pic:blipFill>
                                <a:blip r:embed="rId9" cstate="print"/>
                                <a:srcRect/>
                                <a:stretch>
                                  <a:fillRect/>
                                </a:stretch>
                              </pic:blipFill>
                              <pic:spPr bwMode="auto">
                                <a:xfrm>
                                  <a:off x="0" y="0"/>
                                  <a:ext cx="93345" cy="67945"/>
                                </a:xfrm>
                                <a:prstGeom prst="rect">
                                  <a:avLst/>
                                </a:prstGeom>
                                <a:noFill/>
                                <a:ln w="9525">
                                  <a:noFill/>
                                  <a:miter lim="800000"/>
                                  <a:headEnd/>
                                  <a:tailEnd/>
                                </a:ln>
                              </pic:spPr>
                            </pic:pic>
                          </a:graphicData>
                        </a:graphic>
                      </wp:inline>
                    </w:drawing>
                  </w:r>
                  <w:r w:rsidR="00DB6964" w:rsidRPr="00407805">
                    <w:rPr>
                      <w:rFonts w:eastAsia="Times New Roman" w:cs="Times New Roman"/>
                      <w:color w:val="333333"/>
                      <w:sz w:val="20"/>
                      <w:szCs w:val="20"/>
                    </w:rPr>
                    <w:br/>
                  </w:r>
                  <w:r w:rsidR="00DB6964" w:rsidRPr="00407805">
                    <w:rPr>
                      <w:rFonts w:eastAsia="Times New Roman" w:cs="Times New Roman"/>
                      <w:noProof/>
                      <w:color w:val="333333"/>
                      <w:sz w:val="20"/>
                      <w:szCs w:val="20"/>
                    </w:rPr>
                    <w:drawing>
                      <wp:inline distT="0" distB="0" distL="0" distR="0">
                        <wp:extent cx="8255" cy="93345"/>
                        <wp:effectExtent l="0" t="0" r="0" b="0"/>
                        <wp:docPr id="33" name="Picture 33"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lda.qld.gov.au/00_graphics/spacer.gif"/>
                                <pic:cNvPicPr>
                                  <a:picLocks noChangeAspect="1" noChangeArrowheads="1"/>
                                </pic:cNvPicPr>
                              </pic:nvPicPr>
                              <pic:blipFill>
                                <a:blip r:embed="rId7"/>
                                <a:srcRect/>
                                <a:stretch>
                                  <a:fillRect/>
                                </a:stretch>
                              </pic:blipFill>
                              <pic:spPr bwMode="auto">
                                <a:xfrm>
                                  <a:off x="0" y="0"/>
                                  <a:ext cx="8255" cy="93345"/>
                                </a:xfrm>
                                <a:prstGeom prst="rect">
                                  <a:avLst/>
                                </a:prstGeom>
                                <a:noFill/>
                                <a:ln w="9525">
                                  <a:noFill/>
                                  <a:miter lim="800000"/>
                                  <a:headEnd/>
                                  <a:tailEnd/>
                                </a:ln>
                              </pic:spPr>
                            </pic:pic>
                          </a:graphicData>
                        </a:graphic>
                      </wp:inline>
                    </w:drawing>
                  </w:r>
                </w:p>
              </w:tc>
            </w:tr>
            <w:tr w:rsidR="00DB6964" w:rsidRPr="00407805">
              <w:trPr>
                <w:tblCellSpacing w:w="0" w:type="dxa"/>
              </w:trPr>
              <w:tc>
                <w:tcPr>
                  <w:tcW w:w="0" w:type="auto"/>
                  <w:vAlign w:val="center"/>
                  <w:hideMark/>
                </w:tcPr>
                <w:p w:rsidR="00DB6964" w:rsidRPr="00407805" w:rsidRDefault="002B7D39" w:rsidP="00DB6964">
                  <w:pPr>
                    <w:spacing w:after="0" w:line="336" w:lineRule="auto"/>
                    <w:rPr>
                      <w:rFonts w:eastAsia="Times New Roman" w:cs="Times New Roman"/>
                      <w:color w:val="333333"/>
                      <w:sz w:val="20"/>
                      <w:szCs w:val="20"/>
                    </w:rPr>
                  </w:pPr>
                  <w:hyperlink r:id="rId18" w:tgtFrame="_blank" w:history="1">
                    <w:r w:rsidR="00DB6964" w:rsidRPr="00407805">
                      <w:rPr>
                        <w:rFonts w:eastAsia="Times New Roman" w:cs="Times New Roman"/>
                        <w:b/>
                        <w:bCs/>
                        <w:color w:val="730000"/>
                        <w:sz w:val="20"/>
                        <w:szCs w:val="20"/>
                      </w:rPr>
                      <w:t>SEQ Regional Plan</w:t>
                    </w:r>
                  </w:hyperlink>
                  <w:r w:rsidR="00DB6964" w:rsidRPr="00407805">
                    <w:rPr>
                      <w:rFonts w:eastAsia="Times New Roman" w:cs="Times New Roman"/>
                      <w:color w:val="333333"/>
                      <w:sz w:val="20"/>
                      <w:szCs w:val="20"/>
                    </w:rPr>
                    <w:br/>
                    <w:t>Find out more about the SEQ Regional Plan </w:t>
                  </w:r>
                  <w:r w:rsidR="00DB6964" w:rsidRPr="00407805">
                    <w:rPr>
                      <w:rFonts w:eastAsia="Times New Roman" w:cs="Times New Roman"/>
                      <w:noProof/>
                      <w:color w:val="730000"/>
                      <w:sz w:val="20"/>
                      <w:szCs w:val="20"/>
                    </w:rPr>
                    <w:drawing>
                      <wp:inline distT="0" distB="0" distL="0" distR="0">
                        <wp:extent cx="93345" cy="67945"/>
                        <wp:effectExtent l="0" t="0" r="1905" b="0"/>
                        <wp:docPr id="34" name="Picture 34" descr="http://www.ulda.qld.gov.au/00_graphics/but_more.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lda.qld.gov.au/00_graphics/but_more.gif">
                                  <a:hlinkClick r:id="rId18" tgtFrame="_blank"/>
                                </pic:cNvPr>
                                <pic:cNvPicPr>
                                  <a:picLocks noChangeAspect="1" noChangeArrowheads="1"/>
                                </pic:cNvPicPr>
                              </pic:nvPicPr>
                              <pic:blipFill>
                                <a:blip r:embed="rId9" cstate="print"/>
                                <a:srcRect/>
                                <a:stretch>
                                  <a:fillRect/>
                                </a:stretch>
                              </pic:blipFill>
                              <pic:spPr bwMode="auto">
                                <a:xfrm>
                                  <a:off x="0" y="0"/>
                                  <a:ext cx="93345" cy="67945"/>
                                </a:xfrm>
                                <a:prstGeom prst="rect">
                                  <a:avLst/>
                                </a:prstGeom>
                                <a:noFill/>
                                <a:ln w="9525">
                                  <a:noFill/>
                                  <a:miter lim="800000"/>
                                  <a:headEnd/>
                                  <a:tailEnd/>
                                </a:ln>
                              </pic:spPr>
                            </pic:pic>
                          </a:graphicData>
                        </a:graphic>
                      </wp:inline>
                    </w:drawing>
                  </w:r>
                  <w:r w:rsidR="00DB6964" w:rsidRPr="00407805">
                    <w:rPr>
                      <w:rFonts w:eastAsia="Times New Roman" w:cs="Times New Roman"/>
                      <w:color w:val="333333"/>
                      <w:sz w:val="20"/>
                      <w:szCs w:val="20"/>
                    </w:rPr>
                    <w:br/>
                  </w:r>
                  <w:r w:rsidR="00DB6964" w:rsidRPr="00407805">
                    <w:rPr>
                      <w:rFonts w:eastAsia="Times New Roman" w:cs="Times New Roman"/>
                      <w:noProof/>
                      <w:color w:val="333333"/>
                      <w:sz w:val="20"/>
                      <w:szCs w:val="20"/>
                    </w:rPr>
                    <w:drawing>
                      <wp:inline distT="0" distB="0" distL="0" distR="0">
                        <wp:extent cx="8255" cy="93345"/>
                        <wp:effectExtent l="0" t="0" r="0" b="0"/>
                        <wp:docPr id="35" name="Picture 35" descr="http://www.ulda.qld.gov.au/00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lda.qld.gov.au/00_graphics/spacer.gif"/>
                                <pic:cNvPicPr>
                                  <a:picLocks noChangeAspect="1" noChangeArrowheads="1"/>
                                </pic:cNvPicPr>
                              </pic:nvPicPr>
                              <pic:blipFill>
                                <a:blip r:embed="rId7"/>
                                <a:srcRect/>
                                <a:stretch>
                                  <a:fillRect/>
                                </a:stretch>
                              </pic:blipFill>
                              <pic:spPr bwMode="auto">
                                <a:xfrm>
                                  <a:off x="0" y="0"/>
                                  <a:ext cx="8255" cy="93345"/>
                                </a:xfrm>
                                <a:prstGeom prst="rect">
                                  <a:avLst/>
                                </a:prstGeom>
                                <a:noFill/>
                                <a:ln w="9525">
                                  <a:noFill/>
                                  <a:miter lim="800000"/>
                                  <a:headEnd/>
                                  <a:tailEnd/>
                                </a:ln>
                              </pic:spPr>
                            </pic:pic>
                          </a:graphicData>
                        </a:graphic>
                      </wp:inline>
                    </w:drawing>
                  </w:r>
                </w:p>
              </w:tc>
            </w:tr>
          </w:tbl>
          <w:p w:rsidR="00DB6964" w:rsidRPr="00407805" w:rsidRDefault="00DB6964" w:rsidP="00DB6964">
            <w:pPr>
              <w:spacing w:after="0" w:line="336" w:lineRule="auto"/>
              <w:rPr>
                <w:rFonts w:eastAsia="Times New Roman" w:cs="Times New Roman"/>
                <w:color w:val="333333"/>
                <w:sz w:val="20"/>
                <w:szCs w:val="20"/>
              </w:rPr>
            </w:pPr>
          </w:p>
        </w:tc>
      </w:tr>
      <w:tr w:rsidR="00DB6964" w:rsidRPr="00407805" w:rsidTr="00407805">
        <w:trPr>
          <w:gridAfter w:val="3"/>
          <w:wAfter w:w="11312" w:type="dxa"/>
          <w:tblCellSpacing w:w="0" w:type="dxa"/>
        </w:trPr>
        <w:tc>
          <w:tcPr>
            <w:tcW w:w="1648" w:type="dxa"/>
            <w:vAlign w:val="center"/>
            <w:hideMark/>
          </w:tcPr>
          <w:p w:rsidR="00DB6964" w:rsidRPr="00407805" w:rsidRDefault="00DB6964" w:rsidP="00DB6964">
            <w:pPr>
              <w:spacing w:after="0" w:line="336" w:lineRule="auto"/>
              <w:rPr>
                <w:rFonts w:eastAsia="Times New Roman" w:cs="Times New Roman"/>
                <w:color w:val="333333"/>
                <w:sz w:val="20"/>
                <w:szCs w:val="20"/>
              </w:rPr>
            </w:pPr>
            <w:r w:rsidRPr="00407805">
              <w:rPr>
                <w:rFonts w:eastAsia="Times New Roman" w:cs="Times New Roman"/>
                <w:color w:val="730000"/>
                <w:sz w:val="20"/>
                <w:szCs w:val="20"/>
              </w:rPr>
              <w:lastRenderedPageBreak/>
              <w:t>Fitzgibbon, Brisbane</w:t>
            </w:r>
          </w:p>
        </w:tc>
      </w:tr>
    </w:tbl>
    <w:p w:rsidR="00DB6964" w:rsidRPr="00407805" w:rsidRDefault="00DB6964" w:rsidP="00DB6964">
      <w:pPr>
        <w:spacing w:after="0" w:line="336" w:lineRule="auto"/>
        <w:rPr>
          <w:rFonts w:eastAsia="Times New Roman" w:cs="Times New Roman"/>
          <w:color w:val="333333"/>
          <w:sz w:val="20"/>
          <w:szCs w:val="20"/>
        </w:rPr>
      </w:pPr>
      <w:bookmarkStart w:id="4" w:name="43"/>
      <w:bookmarkEnd w:id="4"/>
    </w:p>
    <w:tbl>
      <w:tblPr>
        <w:tblW w:w="0" w:type="auto"/>
        <w:tblCellSpacing w:w="0" w:type="dxa"/>
        <w:tblCellMar>
          <w:left w:w="0" w:type="dxa"/>
          <w:right w:w="0" w:type="dxa"/>
        </w:tblCellMar>
        <w:tblLook w:val="04A0"/>
      </w:tblPr>
      <w:tblGrid>
        <w:gridCol w:w="7980"/>
      </w:tblGrid>
      <w:tr w:rsidR="00DB6964" w:rsidRPr="00407805">
        <w:trPr>
          <w:tblCellSpacing w:w="0" w:type="dxa"/>
        </w:trPr>
        <w:tc>
          <w:tcPr>
            <w:tcW w:w="0" w:type="auto"/>
            <w:vAlign w:val="center"/>
            <w:hideMark/>
          </w:tcPr>
          <w:tbl>
            <w:tblPr>
              <w:tblW w:w="0" w:type="auto"/>
              <w:tblCellSpacing w:w="0" w:type="dxa"/>
              <w:tblCellMar>
                <w:left w:w="0" w:type="dxa"/>
                <w:right w:w="0" w:type="dxa"/>
              </w:tblCellMar>
              <w:tblLook w:val="04A0"/>
            </w:tblPr>
            <w:tblGrid>
              <w:gridCol w:w="7980"/>
            </w:tblGrid>
            <w:tr w:rsidR="00DB6964" w:rsidRPr="00407805">
              <w:trPr>
                <w:tblCellSpacing w:w="0" w:type="dxa"/>
              </w:trPr>
              <w:tc>
                <w:tcPr>
                  <w:tcW w:w="0" w:type="auto"/>
                  <w:vAlign w:val="center"/>
                  <w:hideMark/>
                </w:tcPr>
                <w:p w:rsidR="00DB6964" w:rsidRPr="00407805" w:rsidRDefault="00DB6964" w:rsidP="00DB6964">
                  <w:pPr>
                    <w:spacing w:after="0" w:line="336" w:lineRule="auto"/>
                    <w:rPr>
                      <w:rFonts w:eastAsia="Times New Roman" w:cs="Times New Roman"/>
                      <w:color w:val="333333"/>
                      <w:sz w:val="20"/>
                      <w:szCs w:val="20"/>
                    </w:rPr>
                  </w:pPr>
                  <w:r w:rsidRPr="00407805">
                    <w:rPr>
                      <w:rFonts w:eastAsia="Times New Roman" w:cs="Times New Roman"/>
                      <w:noProof/>
                      <w:color w:val="333333"/>
                      <w:sz w:val="20"/>
                      <w:szCs w:val="20"/>
                    </w:rPr>
                    <w:drawing>
                      <wp:inline distT="0" distB="0" distL="0" distR="0">
                        <wp:extent cx="5046345" cy="2379345"/>
                        <wp:effectExtent l="19050" t="0" r="1905" b="0"/>
                        <wp:docPr id="49" name="Picture 49" descr="Fitzg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tzgibbon"/>
                                <pic:cNvPicPr>
                                  <a:picLocks noChangeAspect="1" noChangeArrowheads="1"/>
                                </pic:cNvPicPr>
                              </pic:nvPicPr>
                              <pic:blipFill>
                                <a:blip r:embed="rId19" cstate="print"/>
                                <a:srcRect/>
                                <a:stretch>
                                  <a:fillRect/>
                                </a:stretch>
                              </pic:blipFill>
                              <pic:spPr bwMode="auto">
                                <a:xfrm>
                                  <a:off x="0" y="0"/>
                                  <a:ext cx="5046345" cy="2379345"/>
                                </a:xfrm>
                                <a:prstGeom prst="rect">
                                  <a:avLst/>
                                </a:prstGeom>
                                <a:noFill/>
                                <a:ln w="9525">
                                  <a:noFill/>
                                  <a:miter lim="800000"/>
                                  <a:headEnd/>
                                  <a:tailEnd/>
                                </a:ln>
                              </pic:spPr>
                            </pic:pic>
                          </a:graphicData>
                        </a:graphic>
                      </wp:inline>
                    </w:drawing>
                  </w:r>
                </w:p>
              </w:tc>
            </w:tr>
            <w:tr w:rsidR="00DB6964" w:rsidRPr="00407805">
              <w:trPr>
                <w:tblCellSpacing w:w="0" w:type="dxa"/>
              </w:trPr>
              <w:tc>
                <w:tcPr>
                  <w:tcW w:w="7950" w:type="dxa"/>
                  <w:tcMar>
                    <w:top w:w="67" w:type="dxa"/>
                    <w:left w:w="0" w:type="dxa"/>
                    <w:bottom w:w="0" w:type="dxa"/>
                    <w:right w:w="0" w:type="dxa"/>
                  </w:tcMar>
                  <w:vAlign w:val="center"/>
                  <w:hideMark/>
                </w:tcPr>
                <w:p w:rsidR="00DB6964" w:rsidRPr="00407805" w:rsidRDefault="00DB6964" w:rsidP="00DB6964">
                  <w:pPr>
                    <w:spacing w:after="0" w:line="147" w:lineRule="atLeast"/>
                    <w:rPr>
                      <w:rFonts w:eastAsia="Times New Roman" w:cs="Times New Roman"/>
                      <w:i/>
                      <w:iCs/>
                      <w:color w:val="333333"/>
                      <w:sz w:val="20"/>
                      <w:szCs w:val="20"/>
                    </w:rPr>
                  </w:pPr>
                </w:p>
              </w:tc>
            </w:tr>
          </w:tbl>
          <w:p w:rsidR="00DB6964" w:rsidRPr="00407805" w:rsidRDefault="00DB6964" w:rsidP="00DB6964">
            <w:pPr>
              <w:spacing w:after="0" w:line="336" w:lineRule="auto"/>
              <w:rPr>
                <w:rFonts w:eastAsia="Times New Roman" w:cs="Times New Roman"/>
                <w:color w:val="333333"/>
                <w:sz w:val="20"/>
                <w:szCs w:val="20"/>
              </w:rPr>
            </w:pPr>
          </w:p>
        </w:tc>
      </w:tr>
    </w:tbl>
    <w:p w:rsidR="00DB6964" w:rsidRPr="00407805" w:rsidRDefault="00DB6964" w:rsidP="00DB6964">
      <w:pPr>
        <w:spacing w:after="0" w:line="336" w:lineRule="auto"/>
        <w:rPr>
          <w:rFonts w:eastAsia="Times New Roman" w:cs="Times New Roman"/>
          <w:vanish/>
          <w:color w:val="333333"/>
          <w:sz w:val="20"/>
          <w:szCs w:val="20"/>
        </w:rPr>
      </w:pPr>
      <w:bookmarkStart w:id="5" w:name="134"/>
      <w:bookmarkEnd w:id="5"/>
    </w:p>
    <w:tbl>
      <w:tblPr>
        <w:tblW w:w="0" w:type="auto"/>
        <w:tblCellSpacing w:w="0" w:type="dxa"/>
        <w:tblCellMar>
          <w:left w:w="0" w:type="dxa"/>
          <w:right w:w="0" w:type="dxa"/>
        </w:tblCellMar>
        <w:tblLook w:val="04A0"/>
      </w:tblPr>
      <w:tblGrid>
        <w:gridCol w:w="12960"/>
      </w:tblGrid>
      <w:tr w:rsidR="00DB6964" w:rsidRPr="00407805">
        <w:trPr>
          <w:tblCellSpacing w:w="0" w:type="dxa"/>
        </w:trPr>
        <w:tc>
          <w:tcPr>
            <w:tcW w:w="0" w:type="auto"/>
            <w:vAlign w:val="center"/>
            <w:hideMark/>
          </w:tcPr>
          <w:p w:rsidR="00DB6964" w:rsidRPr="00407805" w:rsidRDefault="00DB6964" w:rsidP="00DB6964">
            <w:pPr>
              <w:spacing w:after="240" w:line="336" w:lineRule="auto"/>
              <w:rPr>
                <w:rFonts w:eastAsia="Times New Roman" w:cs="Times New Roman"/>
                <w:color w:val="333333"/>
                <w:sz w:val="20"/>
                <w:szCs w:val="20"/>
              </w:rPr>
            </w:pPr>
            <w:r w:rsidRPr="00407805">
              <w:rPr>
                <w:rFonts w:eastAsia="Times New Roman" w:cs="Times New Roman"/>
                <w:color w:val="333333"/>
                <w:sz w:val="20"/>
                <w:szCs w:val="20"/>
              </w:rPr>
              <w:t xml:space="preserve">Located 12 </w:t>
            </w:r>
            <w:proofErr w:type="spellStart"/>
            <w:r w:rsidRPr="00407805">
              <w:rPr>
                <w:rFonts w:eastAsia="Times New Roman" w:cs="Times New Roman"/>
                <w:color w:val="333333"/>
                <w:sz w:val="20"/>
                <w:szCs w:val="20"/>
              </w:rPr>
              <w:t>kilometres</w:t>
            </w:r>
            <w:proofErr w:type="spellEnd"/>
            <w:r w:rsidRPr="00407805">
              <w:rPr>
                <w:rFonts w:eastAsia="Times New Roman" w:cs="Times New Roman"/>
                <w:color w:val="333333"/>
                <w:sz w:val="20"/>
                <w:szCs w:val="20"/>
              </w:rPr>
              <w:t xml:space="preserve"> from the Brisbane CBD, the Fitzgibbon UDA covers 295-hectares of land in the northern suburbs of Fitzgibbon, </w:t>
            </w:r>
            <w:proofErr w:type="spellStart"/>
            <w:r w:rsidRPr="00407805">
              <w:rPr>
                <w:rFonts w:eastAsia="Times New Roman" w:cs="Times New Roman"/>
                <w:color w:val="333333"/>
                <w:sz w:val="20"/>
                <w:szCs w:val="20"/>
              </w:rPr>
              <w:t>Carseldine</w:t>
            </w:r>
            <w:proofErr w:type="spellEnd"/>
            <w:r w:rsidRPr="00407805">
              <w:rPr>
                <w:rFonts w:eastAsia="Times New Roman" w:cs="Times New Roman"/>
                <w:color w:val="333333"/>
                <w:sz w:val="20"/>
                <w:szCs w:val="20"/>
              </w:rPr>
              <w:t xml:space="preserve">, Bald Hills, </w:t>
            </w:r>
            <w:proofErr w:type="spellStart"/>
            <w:r w:rsidRPr="00407805">
              <w:rPr>
                <w:rFonts w:eastAsia="Times New Roman" w:cs="Times New Roman"/>
                <w:color w:val="333333"/>
                <w:sz w:val="20"/>
                <w:szCs w:val="20"/>
              </w:rPr>
              <w:t>Taigum</w:t>
            </w:r>
            <w:proofErr w:type="spellEnd"/>
            <w:r w:rsidRPr="00407805">
              <w:rPr>
                <w:rFonts w:eastAsia="Times New Roman" w:cs="Times New Roman"/>
                <w:color w:val="333333"/>
                <w:sz w:val="20"/>
                <w:szCs w:val="20"/>
              </w:rPr>
              <w:t xml:space="preserve"> and </w:t>
            </w:r>
            <w:proofErr w:type="spellStart"/>
            <w:r w:rsidRPr="00407805">
              <w:rPr>
                <w:rFonts w:eastAsia="Times New Roman" w:cs="Times New Roman"/>
                <w:color w:val="333333"/>
                <w:sz w:val="20"/>
                <w:szCs w:val="20"/>
              </w:rPr>
              <w:t>Deagon</w:t>
            </w:r>
            <w:proofErr w:type="spellEnd"/>
            <w:r w:rsidRPr="00407805">
              <w:rPr>
                <w:rFonts w:eastAsia="Times New Roman" w:cs="Times New Roman"/>
                <w:color w:val="333333"/>
                <w:sz w:val="20"/>
                <w:szCs w:val="20"/>
              </w:rPr>
              <w:t xml:space="preserve">. The Fitzgibbon UDA is bounded by the </w:t>
            </w:r>
            <w:proofErr w:type="spellStart"/>
            <w:r w:rsidRPr="00407805">
              <w:rPr>
                <w:rFonts w:eastAsia="Times New Roman" w:cs="Times New Roman"/>
                <w:color w:val="333333"/>
                <w:sz w:val="20"/>
                <w:szCs w:val="20"/>
              </w:rPr>
              <w:t>Aspley</w:t>
            </w:r>
            <w:proofErr w:type="spellEnd"/>
            <w:r w:rsidRPr="00407805">
              <w:rPr>
                <w:rFonts w:eastAsia="Times New Roman" w:cs="Times New Roman"/>
                <w:color w:val="333333"/>
                <w:sz w:val="20"/>
                <w:szCs w:val="20"/>
              </w:rPr>
              <w:t xml:space="preserve"> School district to the south, Telegraph Road to the north, Gympie Road to the west and the Gateway Motorway to the east.</w:t>
            </w:r>
            <w:r w:rsidRPr="00407805">
              <w:rPr>
                <w:rFonts w:eastAsia="Times New Roman" w:cs="Times New Roman"/>
                <w:color w:val="333333"/>
                <w:sz w:val="20"/>
                <w:szCs w:val="20"/>
              </w:rPr>
              <w:br/>
            </w:r>
            <w:r w:rsidRPr="00407805">
              <w:rPr>
                <w:rFonts w:eastAsia="Times New Roman" w:cs="Times New Roman"/>
                <w:color w:val="333333"/>
                <w:sz w:val="20"/>
                <w:szCs w:val="20"/>
              </w:rPr>
              <w:br/>
              <w:t xml:space="preserve">Due to the rarity of </w:t>
            </w:r>
            <w:proofErr w:type="spellStart"/>
            <w:r w:rsidRPr="00407805">
              <w:rPr>
                <w:rFonts w:eastAsia="Times New Roman" w:cs="Times New Roman"/>
                <w:color w:val="333333"/>
                <w:sz w:val="20"/>
                <w:szCs w:val="20"/>
              </w:rPr>
              <w:t>greenfield</w:t>
            </w:r>
            <w:proofErr w:type="spellEnd"/>
            <w:r w:rsidRPr="00407805">
              <w:rPr>
                <w:rFonts w:eastAsia="Times New Roman" w:cs="Times New Roman"/>
                <w:color w:val="333333"/>
                <w:sz w:val="20"/>
                <w:szCs w:val="20"/>
              </w:rPr>
              <w:t xml:space="preserve"> sites in close proximity to transport networks in Brisbane, the Fitzgibbon UDA is uniquely positioned for transformation into a modern residential suburb developed on transit oriented </w:t>
            </w:r>
            <w:proofErr w:type="gramStart"/>
            <w:r w:rsidRPr="00407805">
              <w:rPr>
                <w:rFonts w:eastAsia="Times New Roman" w:cs="Times New Roman"/>
                <w:color w:val="333333"/>
                <w:sz w:val="20"/>
                <w:szCs w:val="20"/>
              </w:rPr>
              <w:t>principles, that</w:t>
            </w:r>
            <w:proofErr w:type="gramEnd"/>
            <w:r w:rsidRPr="00407805">
              <w:rPr>
                <w:rFonts w:eastAsia="Times New Roman" w:cs="Times New Roman"/>
                <w:color w:val="333333"/>
                <w:sz w:val="20"/>
                <w:szCs w:val="20"/>
              </w:rPr>
              <w:t xml:space="preserve"> includes </w:t>
            </w:r>
            <w:proofErr w:type="spellStart"/>
            <w:r w:rsidRPr="00407805">
              <w:rPr>
                <w:rFonts w:eastAsia="Times New Roman" w:cs="Times New Roman"/>
                <w:color w:val="333333"/>
                <w:sz w:val="20"/>
                <w:szCs w:val="20"/>
              </w:rPr>
              <w:t>bushland</w:t>
            </w:r>
            <w:proofErr w:type="spellEnd"/>
            <w:r w:rsidRPr="00407805">
              <w:rPr>
                <w:rFonts w:eastAsia="Times New Roman" w:cs="Times New Roman"/>
                <w:color w:val="333333"/>
                <w:sz w:val="20"/>
                <w:szCs w:val="20"/>
              </w:rPr>
              <w:t xml:space="preserve"> and significant open space.</w:t>
            </w:r>
          </w:p>
        </w:tc>
      </w:tr>
    </w:tbl>
    <w:p w:rsidR="008C33CB" w:rsidRPr="00407805" w:rsidRDefault="00C278CB" w:rsidP="00752307">
      <w:pPr>
        <w:rPr>
          <w:sz w:val="20"/>
          <w:szCs w:val="20"/>
        </w:rPr>
      </w:pPr>
      <w:r w:rsidRPr="00407805">
        <w:rPr>
          <w:sz w:val="20"/>
          <w:szCs w:val="20"/>
        </w:rPr>
        <w:br w:type="page"/>
      </w:r>
    </w:p>
    <w:p w:rsidR="00CD75B3" w:rsidRPr="00CD75B3" w:rsidRDefault="00CD75B3" w:rsidP="00CD75B3">
      <w:pPr>
        <w:spacing w:before="100" w:beforeAutospacing="1" w:after="100" w:afterAutospacing="1" w:line="240" w:lineRule="auto"/>
        <w:outlineLvl w:val="0"/>
        <w:rPr>
          <w:rFonts w:ascii="Times New Roman" w:eastAsia="Times New Roman" w:hAnsi="Times New Roman" w:cs="Times New Roman"/>
          <w:b/>
          <w:bCs/>
          <w:kern w:val="36"/>
        </w:rPr>
      </w:pPr>
      <w:r w:rsidRPr="00CD75B3">
        <w:rPr>
          <w:rFonts w:ascii="Times New Roman" w:eastAsia="Times New Roman" w:hAnsi="Times New Roman" w:cs="Times New Roman"/>
          <w:b/>
          <w:bCs/>
          <w:kern w:val="36"/>
        </w:rPr>
        <w:lastRenderedPageBreak/>
        <w:t>Preventing Youth Disengagement and Promoting Engagement</w:t>
      </w:r>
      <w:r w:rsidRPr="00420A0B">
        <w:rPr>
          <w:rFonts w:ascii="Times New Roman" w:eastAsia="Times New Roman" w:hAnsi="Times New Roman" w:cs="Times New Roman"/>
          <w:b/>
          <w:bCs/>
          <w:kern w:val="36"/>
        </w:rPr>
        <w:t xml:space="preserve"> </w:t>
      </w:r>
      <w:proofErr w:type="spellStart"/>
      <w:r w:rsidRPr="00420A0B">
        <w:rPr>
          <w:rFonts w:ascii="Times New Roman" w:eastAsia="Times New Roman" w:hAnsi="Times New Roman" w:cs="Times New Roman"/>
          <w:b/>
          <w:bCs/>
          <w:kern w:val="36"/>
        </w:rPr>
        <w:t>Reviewe</w:t>
      </w:r>
      <w:proofErr w:type="spellEnd"/>
    </w:p>
    <w:p w:rsidR="00284C2A" w:rsidRPr="00407805" w:rsidRDefault="00284C2A" w:rsidP="00284C2A">
      <w:pPr>
        <w:spacing w:before="100" w:beforeAutospacing="1" w:after="100" w:afterAutospacing="1" w:line="240" w:lineRule="auto"/>
        <w:rPr>
          <w:rFonts w:eastAsia="Times New Roman" w:cs="Times New Roman"/>
          <w:sz w:val="20"/>
          <w:szCs w:val="20"/>
        </w:rPr>
      </w:pPr>
      <w:r w:rsidRPr="00407805">
        <w:rPr>
          <w:rFonts w:eastAsia="Times New Roman" w:cs="Times New Roman"/>
          <w:sz w:val="20"/>
          <w:szCs w:val="20"/>
        </w:rPr>
        <w:t>The review found that literature and perspectives of young people suggest that in addressing the structural and individual causes of exclusion and disengagement:</w:t>
      </w:r>
    </w:p>
    <w:p w:rsidR="00284C2A" w:rsidRPr="00407805" w:rsidRDefault="00284C2A" w:rsidP="00284C2A">
      <w:pPr>
        <w:numPr>
          <w:ilvl w:val="0"/>
          <w:numId w:val="4"/>
        </w:numPr>
        <w:spacing w:before="100" w:beforeAutospacing="1" w:after="100" w:afterAutospacing="1" w:line="240" w:lineRule="auto"/>
        <w:rPr>
          <w:rFonts w:eastAsia="Times New Roman" w:cs="Times New Roman"/>
          <w:sz w:val="20"/>
          <w:szCs w:val="20"/>
        </w:rPr>
      </w:pPr>
      <w:r w:rsidRPr="00407805">
        <w:rPr>
          <w:rFonts w:eastAsia="Times New Roman" w:cs="Times New Roman"/>
          <w:sz w:val="20"/>
          <w:szCs w:val="20"/>
        </w:rPr>
        <w:t xml:space="preserve">Youth participation must be seen not only as an outcome, but also as a process for developing effective policy and programs that reduce youth exclusion and disengagement. </w:t>
      </w:r>
    </w:p>
    <w:p w:rsidR="00284C2A" w:rsidRPr="00407805" w:rsidRDefault="00284C2A" w:rsidP="00284C2A">
      <w:pPr>
        <w:numPr>
          <w:ilvl w:val="0"/>
          <w:numId w:val="4"/>
        </w:numPr>
        <w:spacing w:before="100" w:beforeAutospacing="1" w:after="100" w:afterAutospacing="1" w:line="240" w:lineRule="auto"/>
        <w:rPr>
          <w:rFonts w:eastAsia="Times New Roman" w:cs="Times New Roman"/>
          <w:sz w:val="20"/>
          <w:szCs w:val="20"/>
        </w:rPr>
      </w:pPr>
      <w:r w:rsidRPr="00407805">
        <w:rPr>
          <w:rFonts w:eastAsia="Times New Roman" w:cs="Times New Roman"/>
          <w:sz w:val="20"/>
          <w:szCs w:val="20"/>
        </w:rPr>
        <w:t xml:space="preserve">Research should seek to understand what promotes engagement – as well as what causes experiences of disengagement. </w:t>
      </w:r>
    </w:p>
    <w:p w:rsidR="00284C2A" w:rsidRPr="00407805" w:rsidRDefault="00284C2A" w:rsidP="00284C2A">
      <w:pPr>
        <w:numPr>
          <w:ilvl w:val="0"/>
          <w:numId w:val="4"/>
        </w:numPr>
        <w:spacing w:before="100" w:beforeAutospacing="1" w:after="100" w:afterAutospacing="1" w:line="240" w:lineRule="auto"/>
        <w:rPr>
          <w:rFonts w:eastAsia="Times New Roman" w:cs="Times New Roman"/>
          <w:sz w:val="20"/>
          <w:szCs w:val="20"/>
        </w:rPr>
      </w:pPr>
      <w:r w:rsidRPr="00407805">
        <w:rPr>
          <w:rFonts w:eastAsia="Times New Roman" w:cs="Times New Roman"/>
          <w:sz w:val="20"/>
          <w:szCs w:val="20"/>
        </w:rPr>
        <w:t xml:space="preserve">Policies should address multiple individual risk factors and work across settings (family, school, peer groups and community). </w:t>
      </w:r>
    </w:p>
    <w:p w:rsidR="00284C2A" w:rsidRPr="00407805" w:rsidRDefault="00284C2A" w:rsidP="00284C2A">
      <w:pPr>
        <w:numPr>
          <w:ilvl w:val="0"/>
          <w:numId w:val="4"/>
        </w:numPr>
        <w:spacing w:before="100" w:beforeAutospacing="1" w:after="100" w:afterAutospacing="1" w:line="240" w:lineRule="auto"/>
        <w:rPr>
          <w:rFonts w:eastAsia="Times New Roman" w:cs="Times New Roman"/>
          <w:sz w:val="20"/>
          <w:szCs w:val="20"/>
        </w:rPr>
      </w:pPr>
      <w:r w:rsidRPr="00407805">
        <w:rPr>
          <w:rFonts w:eastAsia="Times New Roman" w:cs="Times New Roman"/>
          <w:sz w:val="20"/>
          <w:szCs w:val="20"/>
        </w:rPr>
        <w:t xml:space="preserve">Policies should also address social determinants through minimising structural disadvantage. </w:t>
      </w:r>
    </w:p>
    <w:p w:rsidR="00284C2A" w:rsidRPr="00407805" w:rsidRDefault="00284C2A" w:rsidP="00284C2A">
      <w:pPr>
        <w:numPr>
          <w:ilvl w:val="0"/>
          <w:numId w:val="4"/>
        </w:numPr>
        <w:spacing w:before="100" w:beforeAutospacing="1" w:after="100" w:afterAutospacing="1" w:line="240" w:lineRule="auto"/>
        <w:rPr>
          <w:rFonts w:eastAsia="Times New Roman" w:cs="Times New Roman"/>
          <w:sz w:val="20"/>
          <w:szCs w:val="20"/>
        </w:rPr>
      </w:pPr>
      <w:r w:rsidRPr="00407805">
        <w:rPr>
          <w:rFonts w:eastAsia="Times New Roman" w:cs="Times New Roman"/>
          <w:sz w:val="20"/>
          <w:szCs w:val="20"/>
        </w:rPr>
        <w:t xml:space="preserve">Strategies must be developed that cut across policy silos. </w:t>
      </w:r>
    </w:p>
    <w:p w:rsidR="00284C2A" w:rsidRPr="00407805" w:rsidRDefault="00284C2A" w:rsidP="00284C2A">
      <w:pPr>
        <w:numPr>
          <w:ilvl w:val="0"/>
          <w:numId w:val="4"/>
        </w:numPr>
        <w:spacing w:before="100" w:beforeAutospacing="1" w:after="100" w:afterAutospacing="1" w:line="240" w:lineRule="auto"/>
        <w:rPr>
          <w:rFonts w:eastAsia="Times New Roman" w:cs="Times New Roman"/>
          <w:sz w:val="20"/>
          <w:szCs w:val="20"/>
        </w:rPr>
      </w:pPr>
      <w:r w:rsidRPr="00407805">
        <w:rPr>
          <w:rFonts w:eastAsia="Times New Roman" w:cs="Times New Roman"/>
          <w:sz w:val="20"/>
          <w:szCs w:val="20"/>
        </w:rPr>
        <w:t>Successful strategies for addressing risk factors acknowledge community and connectedness as core components of youth experience and identity.</w:t>
      </w:r>
    </w:p>
    <w:p w:rsidR="00284C2A" w:rsidRPr="00407805" w:rsidRDefault="00284C2A" w:rsidP="00284C2A">
      <w:pPr>
        <w:spacing w:before="100" w:beforeAutospacing="1" w:after="100" w:afterAutospacing="1" w:line="240" w:lineRule="auto"/>
        <w:rPr>
          <w:rFonts w:eastAsia="Times New Roman" w:cs="Times New Roman"/>
          <w:sz w:val="20"/>
          <w:szCs w:val="20"/>
        </w:rPr>
      </w:pPr>
      <w:r w:rsidRPr="00407805">
        <w:rPr>
          <w:rFonts w:eastAsia="Times New Roman" w:cs="Times New Roman"/>
          <w:sz w:val="20"/>
          <w:szCs w:val="20"/>
        </w:rPr>
        <w:t>In addition, the review raises some questions:</w:t>
      </w:r>
    </w:p>
    <w:p w:rsidR="00284C2A" w:rsidRPr="00407805" w:rsidRDefault="00284C2A" w:rsidP="00284C2A">
      <w:pPr>
        <w:numPr>
          <w:ilvl w:val="0"/>
          <w:numId w:val="5"/>
        </w:numPr>
        <w:spacing w:before="100" w:beforeAutospacing="1" w:after="100" w:afterAutospacing="1" w:line="240" w:lineRule="auto"/>
        <w:rPr>
          <w:rFonts w:eastAsia="Times New Roman" w:cs="Times New Roman"/>
          <w:sz w:val="20"/>
          <w:szCs w:val="20"/>
        </w:rPr>
      </w:pPr>
      <w:r w:rsidRPr="00407805">
        <w:rPr>
          <w:rFonts w:eastAsia="Times New Roman" w:cs="Times New Roman"/>
          <w:sz w:val="20"/>
          <w:szCs w:val="20"/>
        </w:rPr>
        <w:t xml:space="preserve">How can continuous service-provision models reduce the risks of disengagement? </w:t>
      </w:r>
    </w:p>
    <w:p w:rsidR="00284C2A" w:rsidRPr="00407805" w:rsidRDefault="00284C2A" w:rsidP="00284C2A">
      <w:pPr>
        <w:numPr>
          <w:ilvl w:val="0"/>
          <w:numId w:val="5"/>
        </w:numPr>
        <w:spacing w:before="100" w:beforeAutospacing="1" w:after="100" w:afterAutospacing="1" w:line="240" w:lineRule="auto"/>
        <w:rPr>
          <w:rFonts w:eastAsia="Times New Roman" w:cs="Times New Roman"/>
          <w:sz w:val="20"/>
          <w:szCs w:val="20"/>
        </w:rPr>
      </w:pPr>
      <w:r w:rsidRPr="00407805">
        <w:rPr>
          <w:rFonts w:eastAsia="Times New Roman" w:cs="Times New Roman"/>
          <w:sz w:val="20"/>
          <w:szCs w:val="20"/>
        </w:rPr>
        <w:t xml:space="preserve">How can policy and program approaches best respond to the changing social context – particularly the emergence of the Internet as an important setting for youth experience? </w:t>
      </w:r>
    </w:p>
    <w:p w:rsidR="00284C2A" w:rsidRPr="00407805" w:rsidRDefault="00284C2A" w:rsidP="00284C2A">
      <w:pPr>
        <w:numPr>
          <w:ilvl w:val="0"/>
          <w:numId w:val="5"/>
        </w:numPr>
        <w:spacing w:before="100" w:beforeAutospacing="1" w:after="100" w:afterAutospacing="1" w:line="240" w:lineRule="auto"/>
        <w:rPr>
          <w:rFonts w:eastAsia="Times New Roman" w:cs="Times New Roman"/>
          <w:sz w:val="20"/>
          <w:szCs w:val="20"/>
        </w:rPr>
      </w:pPr>
      <w:r w:rsidRPr="00407805">
        <w:rPr>
          <w:rFonts w:eastAsia="Times New Roman" w:cs="Times New Roman"/>
          <w:sz w:val="20"/>
          <w:szCs w:val="20"/>
        </w:rPr>
        <w:t xml:space="preserve">How can policy best respond to diversity in order to </w:t>
      </w:r>
      <w:proofErr w:type="spellStart"/>
      <w:r w:rsidRPr="00407805">
        <w:rPr>
          <w:rFonts w:eastAsia="Times New Roman" w:cs="Times New Roman"/>
          <w:sz w:val="20"/>
          <w:szCs w:val="20"/>
        </w:rPr>
        <w:t>minimise</w:t>
      </w:r>
      <w:proofErr w:type="spellEnd"/>
      <w:r w:rsidRPr="00407805">
        <w:rPr>
          <w:rFonts w:eastAsia="Times New Roman" w:cs="Times New Roman"/>
          <w:sz w:val="20"/>
          <w:szCs w:val="20"/>
        </w:rPr>
        <w:t xml:space="preserve"> the added risk experienced by young people from particular backgrounds? </w:t>
      </w:r>
    </w:p>
    <w:p w:rsidR="008C33CB" w:rsidRPr="00407805" w:rsidRDefault="002B7D39">
      <w:pPr>
        <w:rPr>
          <w:sz w:val="20"/>
          <w:szCs w:val="20"/>
        </w:rPr>
      </w:pPr>
      <w:hyperlink r:id="rId20" w:history="1">
        <w:r w:rsidR="00284C2A" w:rsidRPr="00407805">
          <w:rPr>
            <w:rStyle w:val="Hyperlink"/>
            <w:sz w:val="20"/>
            <w:szCs w:val="20"/>
          </w:rPr>
          <w:t>http://www.homelessnessinfo.net.au/index.php?option=com_content&amp;view=article&amp;id=573:preventing-youth-disengagement-and-promoting-engagement&amp;catid=143:continuous-quality-improvement&amp;Itemid=188</w:t>
        </w:r>
      </w:hyperlink>
    </w:p>
    <w:p w:rsidR="00A35251" w:rsidRPr="00407805" w:rsidRDefault="00A35251" w:rsidP="00A35251">
      <w:pPr>
        <w:autoSpaceDE w:val="0"/>
        <w:autoSpaceDN w:val="0"/>
        <w:adjustRightInd w:val="0"/>
        <w:spacing w:after="0" w:line="240" w:lineRule="auto"/>
        <w:rPr>
          <w:rFonts w:cs="TTE12F6368t00"/>
          <w:sz w:val="20"/>
          <w:szCs w:val="20"/>
        </w:rPr>
      </w:pPr>
      <w:r w:rsidRPr="00407805">
        <w:rPr>
          <w:rFonts w:cs="TTE12F6368t00"/>
          <w:sz w:val="20"/>
          <w:szCs w:val="20"/>
        </w:rPr>
        <w:t>Disengagement is often linked to individual attitudes, values, and competencies but youth engagement is also influenced by peers, family, school, community, culture and the media (77). Young people are also subject to a multitude of exclusionary processes which prevent them from engaging in a range of institutions, processes and settings (78). For example, young people involved in this project argued that assumptions about young people in general – and those from specific backgrounds – shaped the ways in which young people were both included and excluded.</w:t>
      </w:r>
    </w:p>
    <w:p w:rsidR="00A35251" w:rsidRPr="00407805" w:rsidRDefault="00A35251" w:rsidP="00A35251">
      <w:pPr>
        <w:autoSpaceDE w:val="0"/>
        <w:autoSpaceDN w:val="0"/>
        <w:adjustRightInd w:val="0"/>
        <w:spacing w:after="0" w:line="240" w:lineRule="auto"/>
        <w:rPr>
          <w:rFonts w:cs="TTE12F6368t00"/>
          <w:sz w:val="20"/>
          <w:szCs w:val="20"/>
        </w:rPr>
      </w:pPr>
    </w:p>
    <w:p w:rsidR="00A35251" w:rsidRPr="00407805" w:rsidRDefault="00A35251" w:rsidP="00A35251">
      <w:pPr>
        <w:autoSpaceDE w:val="0"/>
        <w:autoSpaceDN w:val="0"/>
        <w:adjustRightInd w:val="0"/>
        <w:spacing w:after="0" w:line="240" w:lineRule="auto"/>
        <w:rPr>
          <w:rFonts w:cs="TTE134D2B0t00"/>
          <w:sz w:val="20"/>
          <w:szCs w:val="20"/>
        </w:rPr>
      </w:pPr>
      <w:r w:rsidRPr="00407805">
        <w:rPr>
          <w:rFonts w:cs="TTE134D2B0t00"/>
          <w:sz w:val="20"/>
          <w:szCs w:val="20"/>
        </w:rPr>
        <w:t>"If you are wealthy and well educated, opportunities are given to you,</w:t>
      </w:r>
    </w:p>
    <w:p w:rsidR="00A35251" w:rsidRPr="00407805" w:rsidRDefault="00A35251" w:rsidP="00A35251">
      <w:pPr>
        <w:autoSpaceDE w:val="0"/>
        <w:autoSpaceDN w:val="0"/>
        <w:adjustRightInd w:val="0"/>
        <w:spacing w:after="0" w:line="240" w:lineRule="auto"/>
        <w:rPr>
          <w:rFonts w:cs="TTE134D2B0t00"/>
          <w:sz w:val="20"/>
          <w:szCs w:val="20"/>
        </w:rPr>
      </w:pPr>
      <w:proofErr w:type="gramStart"/>
      <w:r w:rsidRPr="00407805">
        <w:rPr>
          <w:rFonts w:cs="TTE134D2B0t00"/>
          <w:sz w:val="20"/>
          <w:szCs w:val="20"/>
        </w:rPr>
        <w:t>you</w:t>
      </w:r>
      <w:proofErr w:type="gramEnd"/>
      <w:r w:rsidRPr="00407805">
        <w:rPr>
          <w:rFonts w:cs="TTE134D2B0t00"/>
          <w:sz w:val="20"/>
          <w:szCs w:val="20"/>
        </w:rPr>
        <w:t xml:space="preserve"> don’t have to work for the opportunities as much than if you were</w:t>
      </w:r>
    </w:p>
    <w:p w:rsidR="00A35251" w:rsidRPr="00407805" w:rsidRDefault="00A35251" w:rsidP="00A35251">
      <w:pPr>
        <w:autoSpaceDE w:val="0"/>
        <w:autoSpaceDN w:val="0"/>
        <w:adjustRightInd w:val="0"/>
        <w:spacing w:after="0" w:line="240" w:lineRule="auto"/>
        <w:rPr>
          <w:rFonts w:cs="TTE12F6368t00"/>
          <w:sz w:val="20"/>
          <w:szCs w:val="20"/>
        </w:rPr>
      </w:pPr>
      <w:proofErr w:type="gramStart"/>
      <w:r w:rsidRPr="00407805">
        <w:rPr>
          <w:rFonts w:cs="TTE134D2B0t00"/>
          <w:sz w:val="20"/>
          <w:szCs w:val="20"/>
        </w:rPr>
        <w:t>poor</w:t>
      </w:r>
      <w:proofErr w:type="gramEnd"/>
      <w:r w:rsidRPr="00407805">
        <w:rPr>
          <w:rFonts w:cs="TTE134D2B0t00"/>
          <w:sz w:val="20"/>
          <w:szCs w:val="20"/>
        </w:rPr>
        <w:t xml:space="preserve"> or uneducated or from a poorer socio-economic area. </w:t>
      </w:r>
      <w:r w:rsidRPr="00407805">
        <w:rPr>
          <w:rFonts w:cs="TTE12F6368t00"/>
          <w:sz w:val="20"/>
          <w:szCs w:val="20"/>
        </w:rPr>
        <w:t>(Female, 19, face to face forum)</w:t>
      </w:r>
    </w:p>
    <w:p w:rsidR="00A35251" w:rsidRPr="00407805" w:rsidRDefault="00A35251" w:rsidP="00A35251">
      <w:pPr>
        <w:autoSpaceDE w:val="0"/>
        <w:autoSpaceDN w:val="0"/>
        <w:adjustRightInd w:val="0"/>
        <w:spacing w:after="0" w:line="240" w:lineRule="auto"/>
        <w:rPr>
          <w:rFonts w:cs="TTE12F6368t00"/>
          <w:sz w:val="20"/>
          <w:szCs w:val="20"/>
        </w:rPr>
      </w:pPr>
    </w:p>
    <w:p w:rsidR="00A35251" w:rsidRPr="00407805" w:rsidRDefault="00A35251" w:rsidP="00A35251">
      <w:pPr>
        <w:autoSpaceDE w:val="0"/>
        <w:autoSpaceDN w:val="0"/>
        <w:adjustRightInd w:val="0"/>
        <w:spacing w:after="0" w:line="240" w:lineRule="auto"/>
        <w:rPr>
          <w:rFonts w:cs="TTE12F6368t00"/>
          <w:sz w:val="20"/>
          <w:szCs w:val="20"/>
        </w:rPr>
      </w:pPr>
      <w:r w:rsidRPr="00407805">
        <w:rPr>
          <w:rFonts w:cs="TTE12F6368t00"/>
          <w:sz w:val="20"/>
          <w:szCs w:val="20"/>
        </w:rPr>
        <w:t xml:space="preserve">Disengagement is treated in the literature as both an indicator and a process that puts people at risk, as well as an outcome in and of itself. This review considers both perspectives and suggests that engagement is not a linear process or a definitive destination. A young person may be disengaged from school but engaged in employment, family or peer group (see Appendix 2 for case studies). With these caveats in mind, and borrowing from Canadian research, an ‘engagement spectrum’ was used to </w:t>
      </w:r>
      <w:proofErr w:type="spellStart"/>
      <w:r w:rsidRPr="00407805">
        <w:rPr>
          <w:rFonts w:cs="TTE12F6368t00"/>
          <w:sz w:val="20"/>
          <w:szCs w:val="20"/>
        </w:rPr>
        <w:t>conceptualise</w:t>
      </w:r>
      <w:proofErr w:type="spellEnd"/>
      <w:r w:rsidRPr="00407805">
        <w:rPr>
          <w:rFonts w:cs="TTE12F6368t00"/>
          <w:sz w:val="20"/>
          <w:szCs w:val="20"/>
        </w:rPr>
        <w:t xml:space="preserve"> the range of states of youth disengagement and engagement (79).</w:t>
      </w:r>
    </w:p>
    <w:p w:rsidR="00A35251" w:rsidRPr="00407805" w:rsidRDefault="00A35251" w:rsidP="00A35251">
      <w:pPr>
        <w:autoSpaceDE w:val="0"/>
        <w:autoSpaceDN w:val="0"/>
        <w:adjustRightInd w:val="0"/>
        <w:spacing w:after="0" w:line="240" w:lineRule="auto"/>
        <w:rPr>
          <w:rFonts w:cs="TTE12F6368t00"/>
          <w:sz w:val="20"/>
          <w:szCs w:val="20"/>
        </w:rPr>
      </w:pPr>
    </w:p>
    <w:p w:rsidR="00A35251" w:rsidRPr="00420A0B" w:rsidRDefault="00A35251" w:rsidP="00A35251">
      <w:pPr>
        <w:autoSpaceDE w:val="0"/>
        <w:autoSpaceDN w:val="0"/>
        <w:adjustRightInd w:val="0"/>
        <w:spacing w:after="0" w:line="240" w:lineRule="auto"/>
        <w:rPr>
          <w:rFonts w:cs="TTE1315380t00"/>
          <w:b/>
          <w:sz w:val="20"/>
          <w:szCs w:val="20"/>
        </w:rPr>
      </w:pPr>
      <w:r w:rsidRPr="00420A0B">
        <w:rPr>
          <w:rFonts w:cs="TTE1315380t00"/>
          <w:b/>
          <w:sz w:val="20"/>
          <w:szCs w:val="20"/>
        </w:rPr>
        <w:lastRenderedPageBreak/>
        <w:t>Youth Engagement Spectrum</w:t>
      </w:r>
    </w:p>
    <w:p w:rsidR="00A35251" w:rsidRPr="00407805" w:rsidRDefault="00A35251" w:rsidP="00A35251">
      <w:pPr>
        <w:autoSpaceDE w:val="0"/>
        <w:autoSpaceDN w:val="0"/>
        <w:adjustRightInd w:val="0"/>
        <w:spacing w:after="0" w:line="240" w:lineRule="auto"/>
        <w:rPr>
          <w:rFonts w:cs="TTE1315380t00"/>
          <w:sz w:val="20"/>
          <w:szCs w:val="20"/>
        </w:rPr>
      </w:pPr>
    </w:p>
    <w:p w:rsidR="00284C2A" w:rsidRPr="00407805" w:rsidRDefault="00A35251" w:rsidP="00420A0B">
      <w:pPr>
        <w:autoSpaceDE w:val="0"/>
        <w:autoSpaceDN w:val="0"/>
        <w:adjustRightInd w:val="0"/>
        <w:spacing w:after="120" w:line="240" w:lineRule="auto"/>
        <w:rPr>
          <w:sz w:val="20"/>
          <w:szCs w:val="20"/>
        </w:rPr>
      </w:pPr>
      <w:r w:rsidRPr="00407805">
        <w:rPr>
          <w:rFonts w:cs="TTE12F6368t00"/>
          <w:sz w:val="20"/>
          <w:szCs w:val="20"/>
        </w:rPr>
        <w:t>Disengaged   Engaged with Risk    Under-Engaged    Engaged Youth    Highly Engaged    Over-Engaged</w:t>
      </w:r>
    </w:p>
    <w:p w:rsidR="008C33CB" w:rsidRPr="00407805" w:rsidRDefault="002B7D39">
      <w:pPr>
        <w:rPr>
          <w:sz w:val="20"/>
          <w:szCs w:val="20"/>
        </w:rPr>
      </w:pPr>
      <w:hyperlink r:id="rId21" w:history="1">
        <w:r w:rsidR="00A35251" w:rsidRPr="00407805">
          <w:rPr>
            <w:rStyle w:val="Hyperlink"/>
            <w:sz w:val="20"/>
            <w:szCs w:val="20"/>
          </w:rPr>
          <w:t>http://www.aracy.org.au/publicationDocuments/REP_Preventing_Youth_Disengagement_and_Promoting_Engagement-Burns_J_et_al_August_2008.pdf</w:t>
        </w:r>
      </w:hyperlink>
    </w:p>
    <w:p w:rsidR="00A35251" w:rsidRPr="00407805" w:rsidRDefault="00A35251">
      <w:pPr>
        <w:rPr>
          <w:sz w:val="20"/>
          <w:szCs w:val="20"/>
        </w:rPr>
      </w:pPr>
    </w:p>
    <w:p w:rsidR="009B28A0" w:rsidRPr="00420A0B" w:rsidRDefault="00500C04" w:rsidP="009B28A0">
      <w:pPr>
        <w:autoSpaceDE w:val="0"/>
        <w:autoSpaceDN w:val="0"/>
        <w:adjustRightInd w:val="0"/>
        <w:spacing w:after="0" w:line="240" w:lineRule="auto"/>
        <w:rPr>
          <w:rFonts w:cs="Calibri"/>
          <w:b/>
          <w:color w:val="000000"/>
        </w:rPr>
      </w:pPr>
      <w:r w:rsidRPr="00420A0B">
        <w:rPr>
          <w:rFonts w:cs="Calibri"/>
          <w:b/>
          <w:color w:val="000000"/>
        </w:rPr>
        <w:t>Y</w:t>
      </w:r>
      <w:r w:rsidR="009B28A0" w:rsidRPr="00420A0B">
        <w:rPr>
          <w:rFonts w:cs="Calibri"/>
          <w:b/>
          <w:color w:val="000000"/>
        </w:rPr>
        <w:t>oung people are in trouble</w:t>
      </w:r>
      <w:r w:rsidRPr="00420A0B">
        <w:rPr>
          <w:rFonts w:cs="Calibri"/>
          <w:b/>
          <w:color w:val="000000"/>
        </w:rPr>
        <w:t xml:space="preserve"> </w:t>
      </w:r>
      <w:r w:rsidR="009B28A0" w:rsidRPr="00420A0B">
        <w:rPr>
          <w:rFonts w:cs="Calibri"/>
          <w:b/>
          <w:color w:val="000000"/>
        </w:rPr>
        <w:t>and need urgent action NOW.</w:t>
      </w:r>
    </w:p>
    <w:p w:rsidR="00500C04" w:rsidRPr="00407805" w:rsidRDefault="00500C04" w:rsidP="009B28A0">
      <w:pPr>
        <w:autoSpaceDE w:val="0"/>
        <w:autoSpaceDN w:val="0"/>
        <w:adjustRightInd w:val="0"/>
        <w:spacing w:after="0" w:line="240" w:lineRule="auto"/>
        <w:rPr>
          <w:rFonts w:cs="Calibri"/>
          <w:color w:val="000000"/>
          <w:sz w:val="20"/>
          <w:szCs w:val="20"/>
        </w:rPr>
      </w:pPr>
    </w:p>
    <w:p w:rsidR="009B28A0" w:rsidRPr="00407805" w:rsidRDefault="009B28A0" w:rsidP="009B28A0">
      <w:pPr>
        <w:autoSpaceDE w:val="0"/>
        <w:autoSpaceDN w:val="0"/>
        <w:adjustRightInd w:val="0"/>
        <w:spacing w:after="0" w:line="240" w:lineRule="auto"/>
        <w:rPr>
          <w:rFonts w:cs="Calibri"/>
          <w:color w:val="000000"/>
          <w:sz w:val="20"/>
          <w:szCs w:val="20"/>
        </w:rPr>
      </w:pPr>
      <w:r w:rsidRPr="00407805">
        <w:rPr>
          <w:rFonts w:cs="Symbol"/>
          <w:color w:val="000000"/>
          <w:sz w:val="20"/>
          <w:szCs w:val="20"/>
        </w:rPr>
        <w:t xml:space="preserve">• </w:t>
      </w:r>
      <w:r w:rsidRPr="00407805">
        <w:rPr>
          <w:rFonts w:cs="Calibri"/>
          <w:color w:val="000000"/>
          <w:sz w:val="20"/>
          <w:szCs w:val="20"/>
        </w:rPr>
        <w:t>One in three girls will be sexually assaulted. One in eight boys will be sexually assaulted.1</w:t>
      </w:r>
    </w:p>
    <w:p w:rsidR="009B28A0" w:rsidRPr="00407805" w:rsidRDefault="009B28A0" w:rsidP="009B28A0">
      <w:pPr>
        <w:autoSpaceDE w:val="0"/>
        <w:autoSpaceDN w:val="0"/>
        <w:adjustRightInd w:val="0"/>
        <w:spacing w:after="0" w:line="240" w:lineRule="auto"/>
        <w:rPr>
          <w:rFonts w:cs="Calibri"/>
          <w:color w:val="000000"/>
          <w:sz w:val="20"/>
          <w:szCs w:val="20"/>
        </w:rPr>
      </w:pPr>
      <w:r w:rsidRPr="00407805">
        <w:rPr>
          <w:rFonts w:cs="Symbol"/>
          <w:color w:val="7D1E3D"/>
          <w:sz w:val="20"/>
          <w:szCs w:val="20"/>
        </w:rPr>
        <w:t xml:space="preserve">• </w:t>
      </w:r>
      <w:r w:rsidRPr="00407805">
        <w:rPr>
          <w:rFonts w:cs="Calibri"/>
          <w:color w:val="000000"/>
          <w:sz w:val="20"/>
          <w:szCs w:val="20"/>
        </w:rPr>
        <w:t>Over 263,000 children in Australia live with family violence, with about 181,200 children</w:t>
      </w:r>
    </w:p>
    <w:p w:rsidR="009B28A0" w:rsidRPr="00407805" w:rsidRDefault="009B28A0" w:rsidP="009B28A0">
      <w:pPr>
        <w:autoSpaceDE w:val="0"/>
        <w:autoSpaceDN w:val="0"/>
        <w:adjustRightInd w:val="0"/>
        <w:spacing w:after="0" w:line="240" w:lineRule="auto"/>
        <w:rPr>
          <w:rFonts w:cs="Calibri"/>
          <w:color w:val="000000"/>
          <w:sz w:val="20"/>
          <w:szCs w:val="20"/>
        </w:rPr>
      </w:pPr>
      <w:proofErr w:type="gramStart"/>
      <w:r w:rsidRPr="00407805">
        <w:rPr>
          <w:rFonts w:cs="Calibri"/>
          <w:color w:val="000000"/>
          <w:sz w:val="20"/>
          <w:szCs w:val="20"/>
        </w:rPr>
        <w:t>witnessing</w:t>
      </w:r>
      <w:proofErr w:type="gramEnd"/>
      <w:r w:rsidRPr="00407805">
        <w:rPr>
          <w:rFonts w:cs="Calibri"/>
          <w:color w:val="000000"/>
          <w:sz w:val="20"/>
          <w:szCs w:val="20"/>
        </w:rPr>
        <w:t xml:space="preserve"> domestic violence. 2</w:t>
      </w:r>
    </w:p>
    <w:p w:rsidR="009B28A0" w:rsidRPr="00407805" w:rsidRDefault="009B28A0" w:rsidP="009B28A0">
      <w:pPr>
        <w:autoSpaceDE w:val="0"/>
        <w:autoSpaceDN w:val="0"/>
        <w:adjustRightInd w:val="0"/>
        <w:spacing w:after="0" w:line="240" w:lineRule="auto"/>
        <w:rPr>
          <w:rFonts w:cs="Calibri"/>
          <w:color w:val="000000"/>
          <w:sz w:val="20"/>
          <w:szCs w:val="20"/>
        </w:rPr>
      </w:pPr>
      <w:r w:rsidRPr="00407805">
        <w:rPr>
          <w:rFonts w:cs="Symbol"/>
          <w:color w:val="7D1E3D"/>
          <w:sz w:val="20"/>
          <w:szCs w:val="20"/>
        </w:rPr>
        <w:t xml:space="preserve">• </w:t>
      </w:r>
      <w:r w:rsidRPr="00407805">
        <w:rPr>
          <w:rFonts w:cs="Calibri"/>
          <w:color w:val="000000"/>
          <w:sz w:val="20"/>
          <w:szCs w:val="20"/>
        </w:rPr>
        <w:t>Almost 20,000 children are victims of physical or sexual assault each year.3</w:t>
      </w:r>
    </w:p>
    <w:p w:rsidR="009B28A0" w:rsidRPr="00407805" w:rsidRDefault="009B28A0" w:rsidP="009B28A0">
      <w:pPr>
        <w:autoSpaceDE w:val="0"/>
        <w:autoSpaceDN w:val="0"/>
        <w:adjustRightInd w:val="0"/>
        <w:spacing w:after="0" w:line="240" w:lineRule="auto"/>
        <w:rPr>
          <w:rFonts w:cs="Calibri"/>
          <w:color w:val="000000"/>
          <w:sz w:val="20"/>
          <w:szCs w:val="20"/>
        </w:rPr>
      </w:pPr>
      <w:r w:rsidRPr="00407805">
        <w:rPr>
          <w:rFonts w:cs="Symbol"/>
          <w:color w:val="000000"/>
          <w:sz w:val="20"/>
          <w:szCs w:val="20"/>
        </w:rPr>
        <w:t xml:space="preserve">• </w:t>
      </w:r>
      <w:r w:rsidRPr="00407805">
        <w:rPr>
          <w:rFonts w:cs="Calibri"/>
          <w:color w:val="000000"/>
          <w:sz w:val="20"/>
          <w:szCs w:val="20"/>
        </w:rPr>
        <w:t>Over 412,000 Australian children are living below the most austere poverty line.4</w:t>
      </w:r>
    </w:p>
    <w:p w:rsidR="009B28A0" w:rsidRPr="00407805" w:rsidRDefault="009B28A0" w:rsidP="009B28A0">
      <w:pPr>
        <w:autoSpaceDE w:val="0"/>
        <w:autoSpaceDN w:val="0"/>
        <w:adjustRightInd w:val="0"/>
        <w:spacing w:after="0" w:line="240" w:lineRule="auto"/>
        <w:rPr>
          <w:rFonts w:cs="Calibri"/>
          <w:color w:val="000000"/>
          <w:sz w:val="20"/>
          <w:szCs w:val="20"/>
        </w:rPr>
      </w:pPr>
      <w:r w:rsidRPr="00407805">
        <w:rPr>
          <w:rFonts w:cs="Symbol"/>
          <w:color w:val="000000"/>
          <w:sz w:val="20"/>
          <w:szCs w:val="20"/>
        </w:rPr>
        <w:t xml:space="preserve">• </w:t>
      </w:r>
      <w:r w:rsidRPr="00407805">
        <w:rPr>
          <w:rFonts w:cs="Calibri"/>
          <w:color w:val="000000"/>
          <w:sz w:val="20"/>
          <w:szCs w:val="20"/>
        </w:rPr>
        <w:t>Almost 65,000 children are homeless or at risk of homelessness.5</w:t>
      </w:r>
    </w:p>
    <w:p w:rsidR="009B28A0" w:rsidRPr="00407805" w:rsidRDefault="009B28A0" w:rsidP="009B28A0">
      <w:pPr>
        <w:autoSpaceDE w:val="0"/>
        <w:autoSpaceDN w:val="0"/>
        <w:adjustRightInd w:val="0"/>
        <w:spacing w:after="0" w:line="240" w:lineRule="auto"/>
        <w:rPr>
          <w:rFonts w:cs="Calibri"/>
          <w:color w:val="000000"/>
          <w:sz w:val="20"/>
          <w:szCs w:val="20"/>
        </w:rPr>
      </w:pPr>
      <w:r w:rsidRPr="00407805">
        <w:rPr>
          <w:rFonts w:cs="Symbol"/>
          <w:color w:val="000000"/>
          <w:sz w:val="20"/>
          <w:szCs w:val="20"/>
        </w:rPr>
        <w:t xml:space="preserve">• </w:t>
      </w:r>
      <w:r w:rsidRPr="00407805">
        <w:rPr>
          <w:rFonts w:cs="Calibri"/>
          <w:color w:val="000000"/>
          <w:sz w:val="20"/>
          <w:szCs w:val="20"/>
        </w:rPr>
        <w:t>In Australia today, over 78,000 children live in a household where there is at least one daily</w:t>
      </w:r>
    </w:p>
    <w:p w:rsidR="009B28A0" w:rsidRPr="00407805" w:rsidRDefault="009B28A0" w:rsidP="009B28A0">
      <w:pPr>
        <w:autoSpaceDE w:val="0"/>
        <w:autoSpaceDN w:val="0"/>
        <w:adjustRightInd w:val="0"/>
        <w:spacing w:after="0" w:line="240" w:lineRule="auto"/>
        <w:rPr>
          <w:rFonts w:cs="Calibri"/>
          <w:color w:val="000000"/>
          <w:sz w:val="20"/>
          <w:szCs w:val="20"/>
        </w:rPr>
      </w:pPr>
      <w:proofErr w:type="gramStart"/>
      <w:r w:rsidRPr="00407805">
        <w:rPr>
          <w:rFonts w:cs="Calibri"/>
          <w:color w:val="000000"/>
          <w:sz w:val="20"/>
          <w:szCs w:val="20"/>
        </w:rPr>
        <w:t>cannabis</w:t>
      </w:r>
      <w:proofErr w:type="gramEnd"/>
      <w:r w:rsidRPr="00407805">
        <w:rPr>
          <w:rFonts w:cs="Calibri"/>
          <w:color w:val="000000"/>
          <w:sz w:val="20"/>
          <w:szCs w:val="20"/>
        </w:rPr>
        <w:t xml:space="preserve"> user.6</w:t>
      </w:r>
    </w:p>
    <w:p w:rsidR="009B28A0" w:rsidRPr="00407805" w:rsidRDefault="009B28A0" w:rsidP="009B28A0">
      <w:pPr>
        <w:autoSpaceDE w:val="0"/>
        <w:autoSpaceDN w:val="0"/>
        <w:adjustRightInd w:val="0"/>
        <w:spacing w:after="0" w:line="240" w:lineRule="auto"/>
        <w:rPr>
          <w:rFonts w:cs="Calibri"/>
          <w:color w:val="000000"/>
          <w:sz w:val="20"/>
          <w:szCs w:val="20"/>
        </w:rPr>
      </w:pPr>
      <w:r w:rsidRPr="00407805">
        <w:rPr>
          <w:rFonts w:cs="Symbol"/>
          <w:color w:val="000000"/>
          <w:sz w:val="20"/>
          <w:szCs w:val="20"/>
        </w:rPr>
        <w:t xml:space="preserve">• </w:t>
      </w:r>
      <w:r w:rsidRPr="00407805">
        <w:rPr>
          <w:rFonts w:cs="Calibri"/>
          <w:color w:val="000000"/>
          <w:sz w:val="20"/>
          <w:szCs w:val="20"/>
        </w:rPr>
        <w:t>In Australia today, over 27,000 children live in a household where an adult is using</w:t>
      </w:r>
    </w:p>
    <w:p w:rsidR="009B28A0" w:rsidRPr="00407805" w:rsidRDefault="009B28A0" w:rsidP="009B28A0">
      <w:pPr>
        <w:autoSpaceDE w:val="0"/>
        <w:autoSpaceDN w:val="0"/>
        <w:adjustRightInd w:val="0"/>
        <w:spacing w:after="0" w:line="240" w:lineRule="auto"/>
        <w:rPr>
          <w:rFonts w:cs="Calibri"/>
          <w:color w:val="000000"/>
          <w:sz w:val="20"/>
          <w:szCs w:val="20"/>
        </w:rPr>
      </w:pPr>
      <w:proofErr w:type="gramStart"/>
      <w:r w:rsidRPr="00407805">
        <w:rPr>
          <w:rFonts w:cs="Calibri"/>
          <w:color w:val="000000"/>
          <w:sz w:val="20"/>
          <w:szCs w:val="20"/>
        </w:rPr>
        <w:t>methamphetamines</w:t>
      </w:r>
      <w:proofErr w:type="gramEnd"/>
      <w:r w:rsidRPr="00407805">
        <w:rPr>
          <w:rFonts w:cs="Calibri"/>
          <w:color w:val="000000"/>
          <w:sz w:val="20"/>
          <w:szCs w:val="20"/>
        </w:rPr>
        <w:t xml:space="preserve"> monthly.7</w:t>
      </w:r>
    </w:p>
    <w:p w:rsidR="00A35251" w:rsidRPr="00407805" w:rsidRDefault="009B28A0" w:rsidP="009B28A0">
      <w:pPr>
        <w:rPr>
          <w:sz w:val="20"/>
          <w:szCs w:val="20"/>
        </w:rPr>
      </w:pPr>
      <w:r w:rsidRPr="00407805">
        <w:rPr>
          <w:rFonts w:cs="Symbol"/>
          <w:color w:val="000000"/>
          <w:sz w:val="20"/>
          <w:szCs w:val="20"/>
        </w:rPr>
        <w:t xml:space="preserve">• </w:t>
      </w:r>
      <w:r w:rsidRPr="00407805">
        <w:rPr>
          <w:rFonts w:cs="Calibri"/>
          <w:color w:val="000000"/>
          <w:sz w:val="20"/>
          <w:szCs w:val="20"/>
        </w:rPr>
        <w:t>On any given night, one in two young people are turned away from crisis accommodation.8</w:t>
      </w:r>
    </w:p>
    <w:p w:rsidR="00A35251" w:rsidRPr="00407805" w:rsidRDefault="002B7D39">
      <w:pPr>
        <w:rPr>
          <w:sz w:val="20"/>
          <w:szCs w:val="20"/>
        </w:rPr>
      </w:pPr>
      <w:hyperlink r:id="rId22" w:history="1">
        <w:r w:rsidR="0050544C" w:rsidRPr="00407805">
          <w:rPr>
            <w:rStyle w:val="Hyperlink"/>
            <w:sz w:val="20"/>
            <w:szCs w:val="20"/>
          </w:rPr>
          <w:t>http://www.youthoffthestreets.com.au/downloads/2009_november_national_youth_strategy.pdf</w:t>
        </w:r>
      </w:hyperlink>
    </w:p>
    <w:p w:rsidR="0050544C" w:rsidRPr="00407805" w:rsidRDefault="00500C04">
      <w:pPr>
        <w:rPr>
          <w:sz w:val="20"/>
          <w:szCs w:val="20"/>
        </w:rPr>
      </w:pPr>
      <w:r w:rsidRPr="00407805">
        <w:rPr>
          <w:sz w:val="20"/>
          <w:szCs w:val="20"/>
        </w:rPr>
        <w:t xml:space="preserve">There would appear to be a clear anxiety among those in positions of power and responsibility within society about the problematic </w:t>
      </w:r>
      <w:proofErr w:type="spellStart"/>
      <w:r w:rsidRPr="00407805">
        <w:rPr>
          <w:sz w:val="20"/>
          <w:szCs w:val="20"/>
        </w:rPr>
        <w:t>behaviour</w:t>
      </w:r>
      <w:proofErr w:type="spellEnd"/>
      <w:r w:rsidRPr="00407805">
        <w:rPr>
          <w:sz w:val="20"/>
          <w:szCs w:val="20"/>
        </w:rPr>
        <w:t xml:space="preserve"> of some individuals, as well as the need to maintain social inclusion and reduce social exclusion (</w:t>
      </w:r>
      <w:proofErr w:type="spellStart"/>
      <w:r w:rsidRPr="00407805">
        <w:rPr>
          <w:sz w:val="20"/>
          <w:szCs w:val="20"/>
        </w:rPr>
        <w:t>Tait</w:t>
      </w:r>
      <w:proofErr w:type="spellEnd"/>
      <w:r w:rsidRPr="00407805">
        <w:rPr>
          <w:sz w:val="20"/>
          <w:szCs w:val="20"/>
        </w:rPr>
        <w:t xml:space="preserve">, 2000; Long &amp; Sanderson, 2001). Central to this, particularly (although not exclusively) in relation to young people, is the issue of tackling disaffection. However, there are considerable difficulties in defining disaffection because researchers have employed numerous terms to define a cluster of </w:t>
      </w:r>
      <w:proofErr w:type="spellStart"/>
      <w:r w:rsidRPr="00407805">
        <w:rPr>
          <w:sz w:val="20"/>
          <w:szCs w:val="20"/>
        </w:rPr>
        <w:t>behaviours</w:t>
      </w:r>
      <w:proofErr w:type="spellEnd"/>
      <w:r w:rsidRPr="00407805">
        <w:rPr>
          <w:sz w:val="20"/>
          <w:szCs w:val="20"/>
        </w:rPr>
        <w:t xml:space="preserve">, attitudes and experiences that could be covered by this overarching term. For example, labels such as </w:t>
      </w:r>
      <w:r w:rsidRPr="00407805">
        <w:rPr>
          <w:i/>
          <w:iCs/>
          <w:sz w:val="20"/>
          <w:szCs w:val="20"/>
        </w:rPr>
        <w:t>'at-risk'</w:t>
      </w:r>
      <w:r w:rsidRPr="00407805">
        <w:rPr>
          <w:sz w:val="20"/>
          <w:szCs w:val="20"/>
        </w:rPr>
        <w:t xml:space="preserve"> (Goodman, 1999), </w:t>
      </w:r>
      <w:r w:rsidRPr="00407805">
        <w:rPr>
          <w:i/>
          <w:iCs/>
          <w:sz w:val="20"/>
          <w:szCs w:val="20"/>
        </w:rPr>
        <w:t>'disenfranchised'</w:t>
      </w:r>
      <w:r w:rsidRPr="00407805">
        <w:rPr>
          <w:sz w:val="20"/>
          <w:szCs w:val="20"/>
        </w:rPr>
        <w:t xml:space="preserve"> (Riley &amp; </w:t>
      </w:r>
      <w:proofErr w:type="spellStart"/>
      <w:r w:rsidRPr="00407805">
        <w:rPr>
          <w:sz w:val="20"/>
          <w:szCs w:val="20"/>
        </w:rPr>
        <w:t>Rustique</w:t>
      </w:r>
      <w:proofErr w:type="spellEnd"/>
      <w:r w:rsidRPr="00407805">
        <w:rPr>
          <w:sz w:val="20"/>
          <w:szCs w:val="20"/>
        </w:rPr>
        <w:t xml:space="preserve">-Forrester, 2002; Kinder </w:t>
      </w:r>
      <w:r w:rsidRPr="00407805">
        <w:rPr>
          <w:i/>
          <w:iCs/>
          <w:sz w:val="20"/>
          <w:szCs w:val="20"/>
        </w:rPr>
        <w:t xml:space="preserve">et al, </w:t>
      </w:r>
      <w:r w:rsidRPr="00407805">
        <w:rPr>
          <w:sz w:val="20"/>
          <w:szCs w:val="20"/>
        </w:rPr>
        <w:t xml:space="preserve">1995), </w:t>
      </w:r>
      <w:r w:rsidRPr="00407805">
        <w:rPr>
          <w:i/>
          <w:iCs/>
          <w:sz w:val="20"/>
          <w:szCs w:val="20"/>
        </w:rPr>
        <w:t>'marginalized'</w:t>
      </w:r>
      <w:r w:rsidRPr="00407805">
        <w:rPr>
          <w:sz w:val="20"/>
          <w:szCs w:val="20"/>
        </w:rPr>
        <w:t xml:space="preserve"> (Halas, 2001; </w:t>
      </w:r>
      <w:proofErr w:type="spellStart"/>
      <w:r w:rsidRPr="00407805">
        <w:rPr>
          <w:sz w:val="20"/>
          <w:szCs w:val="20"/>
        </w:rPr>
        <w:t>Moote</w:t>
      </w:r>
      <w:proofErr w:type="spellEnd"/>
      <w:r w:rsidRPr="00407805">
        <w:rPr>
          <w:sz w:val="20"/>
          <w:szCs w:val="20"/>
        </w:rPr>
        <w:t xml:space="preserve"> &amp; </w:t>
      </w:r>
      <w:proofErr w:type="spellStart"/>
      <w:r w:rsidRPr="00407805">
        <w:rPr>
          <w:sz w:val="20"/>
          <w:szCs w:val="20"/>
        </w:rPr>
        <w:t>Wodarski</w:t>
      </w:r>
      <w:proofErr w:type="spellEnd"/>
      <w:r w:rsidRPr="00407805">
        <w:rPr>
          <w:sz w:val="20"/>
          <w:szCs w:val="20"/>
        </w:rPr>
        <w:t xml:space="preserve">, 1997), </w:t>
      </w:r>
      <w:r w:rsidRPr="00407805">
        <w:rPr>
          <w:i/>
          <w:iCs/>
          <w:sz w:val="20"/>
          <w:szCs w:val="20"/>
        </w:rPr>
        <w:t>'excluded'</w:t>
      </w:r>
      <w:r w:rsidRPr="00407805">
        <w:rPr>
          <w:sz w:val="20"/>
          <w:szCs w:val="20"/>
        </w:rPr>
        <w:t xml:space="preserve"> (Steer, 2000), </w:t>
      </w:r>
      <w:r w:rsidRPr="00407805">
        <w:rPr>
          <w:i/>
          <w:iCs/>
          <w:sz w:val="20"/>
          <w:szCs w:val="20"/>
        </w:rPr>
        <w:t>'underserved'</w:t>
      </w:r>
      <w:r w:rsidRPr="00407805">
        <w:rPr>
          <w:sz w:val="20"/>
          <w:szCs w:val="20"/>
        </w:rPr>
        <w:t xml:space="preserve"> (Pitter &amp; Andrews, 1997; </w:t>
      </w:r>
      <w:proofErr w:type="spellStart"/>
      <w:r w:rsidRPr="00407805">
        <w:rPr>
          <w:sz w:val="20"/>
          <w:szCs w:val="20"/>
        </w:rPr>
        <w:t>Martinek</w:t>
      </w:r>
      <w:proofErr w:type="spellEnd"/>
      <w:r w:rsidRPr="00407805">
        <w:rPr>
          <w:sz w:val="20"/>
          <w:szCs w:val="20"/>
        </w:rPr>
        <w:t xml:space="preserve">, 1997), </w:t>
      </w:r>
      <w:r w:rsidRPr="00407805">
        <w:rPr>
          <w:i/>
          <w:iCs/>
          <w:sz w:val="20"/>
          <w:szCs w:val="20"/>
        </w:rPr>
        <w:t>'troubled'</w:t>
      </w:r>
      <w:r w:rsidRPr="00407805">
        <w:rPr>
          <w:sz w:val="20"/>
          <w:szCs w:val="20"/>
        </w:rPr>
        <w:t xml:space="preserve"> (Halas, 2001), </w:t>
      </w:r>
      <w:r w:rsidRPr="00407805">
        <w:rPr>
          <w:i/>
          <w:iCs/>
          <w:sz w:val="20"/>
          <w:szCs w:val="20"/>
        </w:rPr>
        <w:t>'delinquent'</w:t>
      </w:r>
      <w:r w:rsidRPr="00407805">
        <w:rPr>
          <w:sz w:val="20"/>
          <w:szCs w:val="20"/>
        </w:rPr>
        <w:t xml:space="preserve"> (</w:t>
      </w:r>
      <w:proofErr w:type="spellStart"/>
      <w:r w:rsidRPr="00407805">
        <w:rPr>
          <w:sz w:val="20"/>
          <w:szCs w:val="20"/>
        </w:rPr>
        <w:t>Sugden</w:t>
      </w:r>
      <w:proofErr w:type="spellEnd"/>
      <w:r w:rsidRPr="00407805">
        <w:rPr>
          <w:sz w:val="20"/>
          <w:szCs w:val="20"/>
        </w:rPr>
        <w:t xml:space="preserve"> &amp; </w:t>
      </w:r>
      <w:proofErr w:type="spellStart"/>
      <w:r w:rsidRPr="00407805">
        <w:rPr>
          <w:sz w:val="20"/>
          <w:szCs w:val="20"/>
        </w:rPr>
        <w:t>Yiannakis</w:t>
      </w:r>
      <w:proofErr w:type="spellEnd"/>
      <w:r w:rsidRPr="00407805">
        <w:rPr>
          <w:sz w:val="20"/>
          <w:szCs w:val="20"/>
        </w:rPr>
        <w:t xml:space="preserve">, 1982), </w:t>
      </w:r>
      <w:r w:rsidRPr="00407805">
        <w:rPr>
          <w:i/>
          <w:iCs/>
          <w:sz w:val="20"/>
          <w:szCs w:val="20"/>
        </w:rPr>
        <w:t>'alienated'</w:t>
      </w:r>
      <w:r w:rsidRPr="00407805">
        <w:rPr>
          <w:sz w:val="20"/>
          <w:szCs w:val="20"/>
        </w:rPr>
        <w:t xml:space="preserve"> (Halas, 2002; </w:t>
      </w:r>
      <w:proofErr w:type="spellStart"/>
      <w:r w:rsidRPr="00407805">
        <w:rPr>
          <w:sz w:val="20"/>
          <w:szCs w:val="20"/>
        </w:rPr>
        <w:t>Moote</w:t>
      </w:r>
      <w:proofErr w:type="spellEnd"/>
      <w:r w:rsidRPr="00407805">
        <w:rPr>
          <w:sz w:val="20"/>
          <w:szCs w:val="20"/>
        </w:rPr>
        <w:t xml:space="preserve"> &amp; </w:t>
      </w:r>
      <w:proofErr w:type="spellStart"/>
      <w:r w:rsidRPr="00407805">
        <w:rPr>
          <w:sz w:val="20"/>
          <w:szCs w:val="20"/>
        </w:rPr>
        <w:t>Wodarski</w:t>
      </w:r>
      <w:proofErr w:type="spellEnd"/>
      <w:r w:rsidRPr="00407805">
        <w:rPr>
          <w:sz w:val="20"/>
          <w:szCs w:val="20"/>
        </w:rPr>
        <w:t xml:space="preserve">, 1997) and, perhaps most commonly at present, </w:t>
      </w:r>
      <w:r w:rsidRPr="00407805">
        <w:rPr>
          <w:i/>
          <w:iCs/>
          <w:sz w:val="20"/>
          <w:szCs w:val="20"/>
        </w:rPr>
        <w:t>'disengaged'</w:t>
      </w:r>
      <w:r w:rsidRPr="00407805">
        <w:rPr>
          <w:sz w:val="20"/>
          <w:szCs w:val="20"/>
        </w:rPr>
        <w:t xml:space="preserve"> (Steer, 2000) have all been used to describe elements of disaffection. Moreover, the root causes of disaffection are also perceived to be numerous and interrelated, with some of the primary factors cited as being low self-esteem (e.g. Andrews &amp; Andrews, 2003), poverty (</w:t>
      </w:r>
      <w:proofErr w:type="spellStart"/>
      <w:r w:rsidRPr="00407805">
        <w:rPr>
          <w:sz w:val="20"/>
          <w:szCs w:val="20"/>
        </w:rPr>
        <w:t>Martinek</w:t>
      </w:r>
      <w:proofErr w:type="spellEnd"/>
      <w:r w:rsidRPr="00407805">
        <w:rPr>
          <w:sz w:val="20"/>
          <w:szCs w:val="20"/>
        </w:rPr>
        <w:t>, 1997; Steer, 2000), broken families (</w:t>
      </w:r>
      <w:proofErr w:type="spellStart"/>
      <w:r w:rsidRPr="00407805">
        <w:rPr>
          <w:sz w:val="20"/>
          <w:szCs w:val="20"/>
        </w:rPr>
        <w:t>Heathcote</w:t>
      </w:r>
      <w:proofErr w:type="spellEnd"/>
      <w:r w:rsidRPr="00407805">
        <w:rPr>
          <w:sz w:val="20"/>
          <w:szCs w:val="20"/>
        </w:rPr>
        <w:t xml:space="preserve">-Elliott &amp; Walters, 2000; Steer, 2000); drug use (Witt &amp; Crompton, 1996; Goodman, 1999), unemployment (Long &amp; Sanderson, 2001; Steer, 2000) and involvement in crime (Witt &amp; Crompton, 1996; </w:t>
      </w:r>
      <w:proofErr w:type="spellStart"/>
      <w:r w:rsidRPr="00407805">
        <w:rPr>
          <w:sz w:val="20"/>
          <w:szCs w:val="20"/>
        </w:rPr>
        <w:t>Martinek</w:t>
      </w:r>
      <w:proofErr w:type="spellEnd"/>
      <w:r w:rsidRPr="00407805">
        <w:rPr>
          <w:sz w:val="20"/>
          <w:szCs w:val="20"/>
        </w:rPr>
        <w:t>, 1997).</w:t>
      </w:r>
    </w:p>
    <w:p w:rsidR="00A35251" w:rsidRPr="00407805" w:rsidRDefault="002B7D39">
      <w:pPr>
        <w:rPr>
          <w:sz w:val="20"/>
          <w:szCs w:val="20"/>
        </w:rPr>
      </w:pPr>
      <w:hyperlink r:id="rId23" w:history="1">
        <w:r w:rsidR="00AE6B14" w:rsidRPr="00407805">
          <w:rPr>
            <w:rStyle w:val="Hyperlink"/>
            <w:sz w:val="20"/>
            <w:szCs w:val="20"/>
          </w:rPr>
          <w:t>http://www.leeds.ac.uk/educol/documents/00003304.htm</w:t>
        </w:r>
      </w:hyperlink>
    </w:p>
    <w:p w:rsidR="00500C04" w:rsidRPr="00420A0B" w:rsidRDefault="00AE6B14" w:rsidP="00500C04">
      <w:pPr>
        <w:autoSpaceDE w:val="0"/>
        <w:autoSpaceDN w:val="0"/>
        <w:adjustRightInd w:val="0"/>
        <w:spacing w:after="0" w:line="240" w:lineRule="auto"/>
        <w:rPr>
          <w:rFonts w:cs="Arial"/>
          <w:b/>
        </w:rPr>
      </w:pPr>
      <w:r w:rsidRPr="00420A0B">
        <w:rPr>
          <w:b/>
        </w:rPr>
        <w:lastRenderedPageBreak/>
        <w:t>District Youth Action Plan</w:t>
      </w:r>
      <w:r w:rsidR="00500C04" w:rsidRPr="00420A0B">
        <w:rPr>
          <w:rFonts w:cs="Arial"/>
          <w:b/>
        </w:rPr>
        <w:t xml:space="preserve"> </w:t>
      </w:r>
    </w:p>
    <w:p w:rsidR="00500C04" w:rsidRPr="00407805" w:rsidRDefault="00500C04" w:rsidP="00500C04">
      <w:pPr>
        <w:autoSpaceDE w:val="0"/>
        <w:autoSpaceDN w:val="0"/>
        <w:adjustRightInd w:val="0"/>
        <w:spacing w:after="0" w:line="240" w:lineRule="auto"/>
        <w:rPr>
          <w:rFonts w:cs="Arial"/>
          <w:sz w:val="20"/>
          <w:szCs w:val="20"/>
        </w:rPr>
      </w:pPr>
    </w:p>
    <w:p w:rsidR="00500C04" w:rsidRPr="00407805" w:rsidRDefault="00500C04" w:rsidP="00500C04">
      <w:pPr>
        <w:autoSpaceDE w:val="0"/>
        <w:autoSpaceDN w:val="0"/>
        <w:adjustRightInd w:val="0"/>
        <w:spacing w:after="0" w:line="240" w:lineRule="auto"/>
        <w:rPr>
          <w:rFonts w:cs="Arial"/>
          <w:sz w:val="20"/>
          <w:szCs w:val="20"/>
        </w:rPr>
      </w:pPr>
      <w:r w:rsidRPr="00407805">
        <w:rPr>
          <w:rFonts w:cs="Arial"/>
          <w:sz w:val="20"/>
          <w:szCs w:val="20"/>
        </w:rPr>
        <w:t>The Stafford/</w:t>
      </w:r>
      <w:proofErr w:type="spellStart"/>
      <w:r w:rsidRPr="00407805">
        <w:rPr>
          <w:rFonts w:cs="Arial"/>
          <w:sz w:val="20"/>
          <w:szCs w:val="20"/>
        </w:rPr>
        <w:t>Geebung</w:t>
      </w:r>
      <w:proofErr w:type="spellEnd"/>
      <w:r w:rsidRPr="00407805">
        <w:rPr>
          <w:rFonts w:cs="Arial"/>
          <w:sz w:val="20"/>
          <w:szCs w:val="20"/>
        </w:rPr>
        <w:t xml:space="preserve"> District encompasses essentially what is known as Brisbane</w:t>
      </w:r>
    </w:p>
    <w:p w:rsidR="00500C04" w:rsidRPr="00407805" w:rsidRDefault="00500C04" w:rsidP="00500C04">
      <w:pPr>
        <w:autoSpaceDE w:val="0"/>
        <w:autoSpaceDN w:val="0"/>
        <w:adjustRightInd w:val="0"/>
        <w:spacing w:after="0" w:line="240" w:lineRule="auto"/>
        <w:rPr>
          <w:rFonts w:cs="Arial"/>
          <w:sz w:val="20"/>
          <w:szCs w:val="20"/>
        </w:rPr>
      </w:pPr>
      <w:proofErr w:type="gramStart"/>
      <w:r w:rsidRPr="00407805">
        <w:rPr>
          <w:rFonts w:cs="Arial"/>
          <w:sz w:val="20"/>
          <w:szCs w:val="20"/>
        </w:rPr>
        <w:t>North.</w:t>
      </w:r>
      <w:proofErr w:type="gramEnd"/>
      <w:r w:rsidRPr="00407805">
        <w:rPr>
          <w:rFonts w:cs="Arial"/>
          <w:sz w:val="20"/>
          <w:szCs w:val="20"/>
        </w:rPr>
        <w:t xml:space="preserve"> The area extend to 59 ABS statistical areas with the boundaries being</w:t>
      </w:r>
    </w:p>
    <w:p w:rsidR="00500C04" w:rsidRPr="00407805" w:rsidRDefault="00500C04" w:rsidP="00500C04">
      <w:pPr>
        <w:autoSpaceDE w:val="0"/>
        <w:autoSpaceDN w:val="0"/>
        <w:adjustRightInd w:val="0"/>
        <w:spacing w:after="0" w:line="240" w:lineRule="auto"/>
        <w:rPr>
          <w:rFonts w:cs="Arial"/>
          <w:sz w:val="20"/>
          <w:szCs w:val="20"/>
        </w:rPr>
      </w:pPr>
      <w:proofErr w:type="spellStart"/>
      <w:r w:rsidRPr="00407805">
        <w:rPr>
          <w:rFonts w:cs="Arial"/>
          <w:sz w:val="20"/>
          <w:szCs w:val="20"/>
        </w:rPr>
        <w:t>Sandgate</w:t>
      </w:r>
      <w:proofErr w:type="spellEnd"/>
      <w:r w:rsidRPr="00407805">
        <w:rPr>
          <w:rFonts w:cs="Arial"/>
          <w:sz w:val="20"/>
          <w:szCs w:val="20"/>
        </w:rPr>
        <w:t xml:space="preserve"> and Bracken Ridge in the north, extending south across the river to South</w:t>
      </w:r>
    </w:p>
    <w:p w:rsidR="00500C04" w:rsidRPr="00407805" w:rsidRDefault="00500C04" w:rsidP="00500C04">
      <w:pPr>
        <w:autoSpaceDE w:val="0"/>
        <w:autoSpaceDN w:val="0"/>
        <w:adjustRightInd w:val="0"/>
        <w:spacing w:after="0" w:line="240" w:lineRule="auto"/>
        <w:rPr>
          <w:rFonts w:cs="Arial"/>
          <w:sz w:val="20"/>
          <w:szCs w:val="20"/>
        </w:rPr>
      </w:pPr>
      <w:r w:rsidRPr="00407805">
        <w:rPr>
          <w:rFonts w:cs="Arial"/>
          <w:sz w:val="20"/>
          <w:szCs w:val="20"/>
        </w:rPr>
        <w:t>Brisbane, across to the western boundaries of The Gap and Ferny Grove areas and</w:t>
      </w:r>
    </w:p>
    <w:p w:rsidR="00500C04" w:rsidRPr="00407805" w:rsidRDefault="00500C04" w:rsidP="00500C04">
      <w:pPr>
        <w:autoSpaceDE w:val="0"/>
        <w:autoSpaceDN w:val="0"/>
        <w:adjustRightInd w:val="0"/>
        <w:spacing w:after="0" w:line="240" w:lineRule="auto"/>
        <w:rPr>
          <w:rFonts w:cs="Arial"/>
          <w:sz w:val="20"/>
          <w:szCs w:val="20"/>
        </w:rPr>
      </w:pPr>
      <w:proofErr w:type="gramStart"/>
      <w:r w:rsidRPr="00407805">
        <w:rPr>
          <w:rFonts w:cs="Arial"/>
          <w:sz w:val="20"/>
          <w:szCs w:val="20"/>
        </w:rPr>
        <w:t>to</w:t>
      </w:r>
      <w:proofErr w:type="gramEnd"/>
      <w:r w:rsidRPr="00407805">
        <w:rPr>
          <w:rFonts w:cs="Arial"/>
          <w:sz w:val="20"/>
          <w:szCs w:val="20"/>
        </w:rPr>
        <w:t xml:space="preserve"> the eastern boundary of </w:t>
      </w:r>
      <w:proofErr w:type="spellStart"/>
      <w:r w:rsidRPr="00407805">
        <w:rPr>
          <w:rFonts w:cs="Arial"/>
          <w:sz w:val="20"/>
          <w:szCs w:val="20"/>
        </w:rPr>
        <w:t>Pinkenba</w:t>
      </w:r>
      <w:proofErr w:type="spellEnd"/>
      <w:r w:rsidRPr="00407805">
        <w:rPr>
          <w:rFonts w:cs="Arial"/>
          <w:sz w:val="20"/>
          <w:szCs w:val="20"/>
        </w:rPr>
        <w:t xml:space="preserve"> and New Farm.</w:t>
      </w:r>
    </w:p>
    <w:p w:rsidR="00500C04" w:rsidRPr="00407805" w:rsidRDefault="00500C04" w:rsidP="00500C04">
      <w:pPr>
        <w:autoSpaceDE w:val="0"/>
        <w:autoSpaceDN w:val="0"/>
        <w:adjustRightInd w:val="0"/>
        <w:spacing w:after="0" w:line="240" w:lineRule="auto"/>
        <w:rPr>
          <w:rFonts w:cs="Arial"/>
          <w:sz w:val="20"/>
          <w:szCs w:val="20"/>
        </w:rPr>
      </w:pPr>
      <w:r w:rsidRPr="00407805">
        <w:rPr>
          <w:rFonts w:cs="Arial"/>
          <w:sz w:val="20"/>
          <w:szCs w:val="20"/>
        </w:rPr>
        <w:t>The estimated resident population within the Brisbane North Region at 30 June 2002</w:t>
      </w:r>
    </w:p>
    <w:p w:rsidR="00500C04" w:rsidRPr="00407805" w:rsidRDefault="00500C04" w:rsidP="00500C04">
      <w:pPr>
        <w:autoSpaceDE w:val="0"/>
        <w:autoSpaceDN w:val="0"/>
        <w:adjustRightInd w:val="0"/>
        <w:spacing w:after="0" w:line="240" w:lineRule="auto"/>
        <w:rPr>
          <w:rFonts w:cs="Arial"/>
          <w:sz w:val="20"/>
          <w:szCs w:val="20"/>
        </w:rPr>
      </w:pPr>
      <w:proofErr w:type="gramStart"/>
      <w:r w:rsidRPr="00407805">
        <w:rPr>
          <w:rFonts w:cs="Arial"/>
          <w:sz w:val="20"/>
          <w:szCs w:val="20"/>
        </w:rPr>
        <w:t>was</w:t>
      </w:r>
      <w:proofErr w:type="gramEnd"/>
      <w:r w:rsidRPr="00407805">
        <w:rPr>
          <w:rFonts w:cs="Arial"/>
          <w:sz w:val="20"/>
          <w:szCs w:val="20"/>
        </w:rPr>
        <w:t xml:space="preserve"> 720,106 persons representing 19.4 per cent of the total Queensland population.</w:t>
      </w:r>
    </w:p>
    <w:p w:rsidR="00500C04" w:rsidRPr="00407805" w:rsidRDefault="00500C04" w:rsidP="00500C04">
      <w:pPr>
        <w:autoSpaceDE w:val="0"/>
        <w:autoSpaceDN w:val="0"/>
        <w:adjustRightInd w:val="0"/>
        <w:spacing w:after="0" w:line="240" w:lineRule="auto"/>
        <w:rPr>
          <w:rFonts w:cs="Arial"/>
          <w:sz w:val="20"/>
          <w:szCs w:val="20"/>
        </w:rPr>
      </w:pPr>
      <w:r w:rsidRPr="00407805">
        <w:rPr>
          <w:rFonts w:cs="Arial"/>
          <w:sz w:val="20"/>
          <w:szCs w:val="20"/>
        </w:rPr>
        <w:t>The Region’s estimated resident population is projected to increase by an average</w:t>
      </w:r>
    </w:p>
    <w:p w:rsidR="00500C04" w:rsidRPr="00407805" w:rsidRDefault="00500C04" w:rsidP="00500C04">
      <w:pPr>
        <w:autoSpaceDE w:val="0"/>
        <w:autoSpaceDN w:val="0"/>
        <w:adjustRightInd w:val="0"/>
        <w:spacing w:after="0" w:line="240" w:lineRule="auto"/>
        <w:rPr>
          <w:rFonts w:cs="Arial"/>
          <w:sz w:val="20"/>
          <w:szCs w:val="20"/>
        </w:rPr>
      </w:pPr>
      <w:proofErr w:type="gramStart"/>
      <w:r w:rsidRPr="00407805">
        <w:rPr>
          <w:rFonts w:cs="Arial"/>
          <w:sz w:val="20"/>
          <w:szCs w:val="20"/>
        </w:rPr>
        <w:t>annual</w:t>
      </w:r>
      <w:proofErr w:type="gramEnd"/>
      <w:r w:rsidRPr="00407805">
        <w:rPr>
          <w:rFonts w:cs="Arial"/>
          <w:sz w:val="20"/>
          <w:szCs w:val="20"/>
        </w:rPr>
        <w:t xml:space="preserve"> rate of 1.5 per cent (compared with 1.6 per cent in Queensland to reach</w:t>
      </w:r>
    </w:p>
    <w:p w:rsidR="00500C04" w:rsidRPr="00407805" w:rsidRDefault="00500C04" w:rsidP="00500C04">
      <w:pPr>
        <w:autoSpaceDE w:val="0"/>
        <w:autoSpaceDN w:val="0"/>
        <w:adjustRightInd w:val="0"/>
        <w:spacing w:after="0" w:line="240" w:lineRule="auto"/>
        <w:rPr>
          <w:rFonts w:cs="Arial"/>
          <w:sz w:val="20"/>
          <w:szCs w:val="20"/>
        </w:rPr>
      </w:pPr>
      <w:proofErr w:type="gramStart"/>
      <w:r w:rsidRPr="00407805">
        <w:rPr>
          <w:rFonts w:cs="Arial"/>
          <w:sz w:val="20"/>
          <w:szCs w:val="20"/>
        </w:rPr>
        <w:t>945,836 by the year 2021.</w:t>
      </w:r>
      <w:proofErr w:type="gramEnd"/>
    </w:p>
    <w:p w:rsidR="00500C04" w:rsidRPr="00407805" w:rsidRDefault="00500C04" w:rsidP="00500C04">
      <w:pPr>
        <w:autoSpaceDE w:val="0"/>
        <w:autoSpaceDN w:val="0"/>
        <w:adjustRightInd w:val="0"/>
        <w:spacing w:after="0" w:line="240" w:lineRule="auto"/>
        <w:rPr>
          <w:rFonts w:cs="Arial"/>
          <w:sz w:val="20"/>
          <w:szCs w:val="20"/>
        </w:rPr>
      </w:pPr>
    </w:p>
    <w:p w:rsidR="00500C04" w:rsidRPr="00407805" w:rsidRDefault="00500C04" w:rsidP="00500C04">
      <w:pPr>
        <w:autoSpaceDE w:val="0"/>
        <w:autoSpaceDN w:val="0"/>
        <w:adjustRightInd w:val="0"/>
        <w:spacing w:after="0" w:line="240" w:lineRule="auto"/>
        <w:rPr>
          <w:rFonts w:cs="Arial,Bold"/>
          <w:b/>
          <w:bCs/>
          <w:sz w:val="20"/>
          <w:szCs w:val="20"/>
        </w:rPr>
      </w:pPr>
      <w:r w:rsidRPr="00407805">
        <w:rPr>
          <w:rFonts w:cs="Arial,Bold"/>
          <w:b/>
          <w:bCs/>
          <w:sz w:val="20"/>
          <w:szCs w:val="20"/>
        </w:rPr>
        <w:t>Education and Training</w:t>
      </w:r>
    </w:p>
    <w:p w:rsidR="00500C04" w:rsidRPr="00407805" w:rsidRDefault="00500C04" w:rsidP="00500C04">
      <w:pPr>
        <w:autoSpaceDE w:val="0"/>
        <w:autoSpaceDN w:val="0"/>
        <w:adjustRightInd w:val="0"/>
        <w:spacing w:after="0" w:line="240" w:lineRule="auto"/>
        <w:rPr>
          <w:rFonts w:cs="Arial"/>
          <w:sz w:val="20"/>
          <w:szCs w:val="20"/>
        </w:rPr>
      </w:pPr>
      <w:r w:rsidRPr="00407805">
        <w:rPr>
          <w:rFonts w:cs="Arial"/>
          <w:sz w:val="20"/>
          <w:szCs w:val="20"/>
        </w:rPr>
        <w:t>To date there are 72,188 students within the Stafford/</w:t>
      </w:r>
      <w:proofErr w:type="spellStart"/>
      <w:r w:rsidRPr="00407805">
        <w:rPr>
          <w:rFonts w:cs="Arial"/>
          <w:sz w:val="20"/>
          <w:szCs w:val="20"/>
        </w:rPr>
        <w:t>Geebung</w:t>
      </w:r>
      <w:proofErr w:type="spellEnd"/>
      <w:r w:rsidRPr="00407805">
        <w:rPr>
          <w:rFonts w:cs="Arial"/>
          <w:sz w:val="20"/>
          <w:szCs w:val="20"/>
        </w:rPr>
        <w:t xml:space="preserve"> district with 4520 in</w:t>
      </w:r>
    </w:p>
    <w:p w:rsidR="00500C04" w:rsidRPr="00407805" w:rsidRDefault="00500C04" w:rsidP="00500C04">
      <w:pPr>
        <w:autoSpaceDE w:val="0"/>
        <w:autoSpaceDN w:val="0"/>
        <w:adjustRightInd w:val="0"/>
        <w:spacing w:after="0" w:line="240" w:lineRule="auto"/>
        <w:rPr>
          <w:rFonts w:cs="Arial"/>
          <w:sz w:val="20"/>
          <w:szCs w:val="20"/>
        </w:rPr>
      </w:pPr>
      <w:proofErr w:type="gramStart"/>
      <w:r w:rsidRPr="00407805">
        <w:rPr>
          <w:rFonts w:cs="Arial"/>
          <w:sz w:val="20"/>
          <w:szCs w:val="20"/>
        </w:rPr>
        <w:t>the</w:t>
      </w:r>
      <w:proofErr w:type="gramEnd"/>
      <w:r w:rsidRPr="00407805">
        <w:rPr>
          <w:rFonts w:cs="Arial"/>
          <w:sz w:val="20"/>
          <w:szCs w:val="20"/>
        </w:rPr>
        <w:t xml:space="preserve"> preschool year, 36,349 in the primary years, 184 in Special Education and 31,135</w:t>
      </w:r>
    </w:p>
    <w:p w:rsidR="00500C04" w:rsidRPr="00407805" w:rsidRDefault="00500C04" w:rsidP="00500C04">
      <w:pPr>
        <w:autoSpaceDE w:val="0"/>
        <w:autoSpaceDN w:val="0"/>
        <w:adjustRightInd w:val="0"/>
        <w:spacing w:after="0" w:line="240" w:lineRule="auto"/>
        <w:rPr>
          <w:rFonts w:cs="Arial"/>
          <w:sz w:val="20"/>
          <w:szCs w:val="20"/>
        </w:rPr>
      </w:pPr>
      <w:proofErr w:type="gramStart"/>
      <w:r w:rsidRPr="00407805">
        <w:rPr>
          <w:rFonts w:cs="Arial"/>
          <w:sz w:val="20"/>
          <w:szCs w:val="20"/>
        </w:rPr>
        <w:t>in</w:t>
      </w:r>
      <w:proofErr w:type="gramEnd"/>
      <w:r w:rsidRPr="00407805">
        <w:rPr>
          <w:rFonts w:cs="Arial"/>
          <w:sz w:val="20"/>
          <w:szCs w:val="20"/>
        </w:rPr>
        <w:t xml:space="preserve"> the secondary sector. This figure includes state and non-state schools.</w:t>
      </w:r>
    </w:p>
    <w:p w:rsidR="00500C04" w:rsidRPr="00407805" w:rsidRDefault="00500C04" w:rsidP="00500C04">
      <w:pPr>
        <w:autoSpaceDE w:val="0"/>
        <w:autoSpaceDN w:val="0"/>
        <w:adjustRightInd w:val="0"/>
        <w:spacing w:after="0" w:line="240" w:lineRule="auto"/>
        <w:rPr>
          <w:rFonts w:cs="Arial"/>
          <w:sz w:val="20"/>
          <w:szCs w:val="20"/>
        </w:rPr>
      </w:pPr>
      <w:r w:rsidRPr="00407805">
        <w:rPr>
          <w:rFonts w:cs="Arial"/>
          <w:sz w:val="20"/>
          <w:szCs w:val="20"/>
        </w:rPr>
        <w:t>The Education and Training needs of the Stafford/</w:t>
      </w:r>
      <w:proofErr w:type="spellStart"/>
      <w:r w:rsidRPr="00407805">
        <w:rPr>
          <w:rFonts w:cs="Arial"/>
          <w:sz w:val="20"/>
          <w:szCs w:val="20"/>
        </w:rPr>
        <w:t>Geebung</w:t>
      </w:r>
      <w:proofErr w:type="spellEnd"/>
      <w:r w:rsidRPr="00407805">
        <w:rPr>
          <w:rFonts w:cs="Arial"/>
          <w:sz w:val="20"/>
          <w:szCs w:val="20"/>
        </w:rPr>
        <w:t xml:space="preserve"> District is catered for with</w:t>
      </w:r>
    </w:p>
    <w:p w:rsidR="00500C04" w:rsidRPr="00407805" w:rsidRDefault="00500C04" w:rsidP="00500C04">
      <w:pPr>
        <w:autoSpaceDE w:val="0"/>
        <w:autoSpaceDN w:val="0"/>
        <w:adjustRightInd w:val="0"/>
        <w:spacing w:after="0" w:line="240" w:lineRule="auto"/>
        <w:rPr>
          <w:rFonts w:cs="Arial"/>
          <w:sz w:val="20"/>
          <w:szCs w:val="20"/>
        </w:rPr>
      </w:pPr>
      <w:proofErr w:type="gramStart"/>
      <w:r w:rsidRPr="00407805">
        <w:rPr>
          <w:rFonts w:cs="Arial"/>
          <w:sz w:val="20"/>
          <w:szCs w:val="20"/>
        </w:rPr>
        <w:t>the</w:t>
      </w:r>
      <w:proofErr w:type="gramEnd"/>
      <w:r w:rsidRPr="00407805">
        <w:rPr>
          <w:rFonts w:cs="Arial"/>
          <w:sz w:val="20"/>
          <w:szCs w:val="20"/>
        </w:rPr>
        <w:t xml:space="preserve"> following sites:</w:t>
      </w:r>
    </w:p>
    <w:p w:rsidR="00500C04" w:rsidRPr="00407805" w:rsidRDefault="00500C04" w:rsidP="00500C04">
      <w:pPr>
        <w:autoSpaceDE w:val="0"/>
        <w:autoSpaceDN w:val="0"/>
        <w:adjustRightInd w:val="0"/>
        <w:spacing w:after="0" w:line="240" w:lineRule="auto"/>
        <w:rPr>
          <w:rFonts w:cs="Arial"/>
          <w:sz w:val="20"/>
          <w:szCs w:val="20"/>
        </w:rPr>
      </w:pPr>
      <w:r w:rsidRPr="00407805">
        <w:rPr>
          <w:rFonts w:ascii="Arial" w:hAnsi="Arial" w:cs="Arial"/>
          <w:sz w:val="20"/>
          <w:szCs w:val="20"/>
        </w:rPr>
        <w:t>􀂃</w:t>
      </w:r>
      <w:r w:rsidRPr="00407805">
        <w:rPr>
          <w:rFonts w:cs="Wingdings-Regular"/>
          <w:sz w:val="20"/>
          <w:szCs w:val="20"/>
        </w:rPr>
        <w:t xml:space="preserve"> </w:t>
      </w:r>
      <w:r w:rsidRPr="00407805">
        <w:rPr>
          <w:rFonts w:cs="Arial"/>
          <w:sz w:val="20"/>
          <w:szCs w:val="20"/>
        </w:rPr>
        <w:t>16 state secondary schools</w:t>
      </w:r>
    </w:p>
    <w:p w:rsidR="00500C04" w:rsidRPr="00407805" w:rsidRDefault="00500C04" w:rsidP="00500C04">
      <w:pPr>
        <w:autoSpaceDE w:val="0"/>
        <w:autoSpaceDN w:val="0"/>
        <w:adjustRightInd w:val="0"/>
        <w:spacing w:after="0" w:line="240" w:lineRule="auto"/>
        <w:rPr>
          <w:rFonts w:cs="Arial"/>
          <w:sz w:val="20"/>
          <w:szCs w:val="20"/>
        </w:rPr>
      </w:pPr>
      <w:r w:rsidRPr="00407805">
        <w:rPr>
          <w:rFonts w:ascii="Arial" w:hAnsi="Arial" w:cs="Arial"/>
          <w:sz w:val="20"/>
          <w:szCs w:val="20"/>
        </w:rPr>
        <w:t>􀂃</w:t>
      </w:r>
      <w:r w:rsidRPr="00407805">
        <w:rPr>
          <w:rFonts w:cs="Wingdings-Regular"/>
          <w:sz w:val="20"/>
          <w:szCs w:val="20"/>
        </w:rPr>
        <w:t xml:space="preserve"> </w:t>
      </w:r>
      <w:r w:rsidRPr="00407805">
        <w:rPr>
          <w:rFonts w:cs="Arial"/>
          <w:sz w:val="20"/>
          <w:szCs w:val="20"/>
        </w:rPr>
        <w:t>24 non state secondary schools (both independent and Catholic)</w:t>
      </w:r>
    </w:p>
    <w:p w:rsidR="00500C04" w:rsidRPr="00407805" w:rsidRDefault="00500C04" w:rsidP="00500C04">
      <w:pPr>
        <w:autoSpaceDE w:val="0"/>
        <w:autoSpaceDN w:val="0"/>
        <w:adjustRightInd w:val="0"/>
        <w:spacing w:after="0" w:line="240" w:lineRule="auto"/>
        <w:rPr>
          <w:rFonts w:cs="Arial"/>
          <w:sz w:val="20"/>
          <w:szCs w:val="20"/>
        </w:rPr>
      </w:pPr>
      <w:r w:rsidRPr="00407805">
        <w:rPr>
          <w:rFonts w:ascii="Arial" w:hAnsi="Arial" w:cs="Arial"/>
          <w:sz w:val="20"/>
          <w:szCs w:val="20"/>
        </w:rPr>
        <w:t>􀂃</w:t>
      </w:r>
      <w:r w:rsidRPr="00407805">
        <w:rPr>
          <w:rFonts w:cs="Wingdings-Regular"/>
          <w:sz w:val="20"/>
          <w:szCs w:val="20"/>
        </w:rPr>
        <w:t xml:space="preserve"> </w:t>
      </w:r>
      <w:r w:rsidRPr="00407805">
        <w:rPr>
          <w:rFonts w:cs="Arial"/>
          <w:sz w:val="20"/>
          <w:szCs w:val="20"/>
        </w:rPr>
        <w:t>4 special schools</w:t>
      </w:r>
    </w:p>
    <w:p w:rsidR="00500C04" w:rsidRPr="00407805" w:rsidRDefault="00500C04" w:rsidP="00500C04">
      <w:pPr>
        <w:autoSpaceDE w:val="0"/>
        <w:autoSpaceDN w:val="0"/>
        <w:adjustRightInd w:val="0"/>
        <w:spacing w:after="0" w:line="240" w:lineRule="auto"/>
        <w:rPr>
          <w:rFonts w:cs="Arial"/>
          <w:sz w:val="20"/>
          <w:szCs w:val="20"/>
        </w:rPr>
      </w:pPr>
      <w:r w:rsidRPr="00407805">
        <w:rPr>
          <w:rFonts w:ascii="Arial" w:hAnsi="Arial" w:cs="Arial"/>
          <w:sz w:val="20"/>
          <w:szCs w:val="20"/>
        </w:rPr>
        <w:t>􀂃</w:t>
      </w:r>
      <w:r w:rsidRPr="00407805">
        <w:rPr>
          <w:rFonts w:cs="Wingdings-Regular"/>
          <w:sz w:val="20"/>
          <w:szCs w:val="20"/>
        </w:rPr>
        <w:t xml:space="preserve"> </w:t>
      </w:r>
      <w:r w:rsidRPr="00407805">
        <w:rPr>
          <w:rFonts w:cs="Arial"/>
          <w:sz w:val="20"/>
          <w:szCs w:val="20"/>
        </w:rPr>
        <w:t>2 Hospital schools</w:t>
      </w:r>
    </w:p>
    <w:p w:rsidR="00500C04" w:rsidRPr="00407805" w:rsidRDefault="00500C04" w:rsidP="00500C04">
      <w:pPr>
        <w:autoSpaceDE w:val="0"/>
        <w:autoSpaceDN w:val="0"/>
        <w:adjustRightInd w:val="0"/>
        <w:spacing w:after="0" w:line="240" w:lineRule="auto"/>
        <w:rPr>
          <w:rFonts w:cs="Arial"/>
          <w:sz w:val="20"/>
          <w:szCs w:val="20"/>
        </w:rPr>
      </w:pPr>
      <w:r w:rsidRPr="00407805">
        <w:rPr>
          <w:rFonts w:ascii="Arial" w:hAnsi="Arial" w:cs="Arial"/>
          <w:sz w:val="20"/>
          <w:szCs w:val="20"/>
        </w:rPr>
        <w:t>􀂃</w:t>
      </w:r>
      <w:r w:rsidRPr="00407805">
        <w:rPr>
          <w:rFonts w:cs="Wingdings-Regular"/>
          <w:sz w:val="20"/>
          <w:szCs w:val="20"/>
        </w:rPr>
        <w:t xml:space="preserve"> </w:t>
      </w:r>
      <w:r w:rsidRPr="00407805">
        <w:rPr>
          <w:rFonts w:cs="Arial"/>
          <w:sz w:val="20"/>
          <w:szCs w:val="20"/>
        </w:rPr>
        <w:t>5 alternate education sites (some state funded, some funded by other agencies)</w:t>
      </w:r>
    </w:p>
    <w:p w:rsidR="00500C04" w:rsidRPr="00407805" w:rsidRDefault="00500C04" w:rsidP="00500C04">
      <w:pPr>
        <w:autoSpaceDE w:val="0"/>
        <w:autoSpaceDN w:val="0"/>
        <w:adjustRightInd w:val="0"/>
        <w:spacing w:after="0" w:line="240" w:lineRule="auto"/>
        <w:rPr>
          <w:rFonts w:cs="Arial"/>
          <w:sz w:val="20"/>
          <w:szCs w:val="20"/>
        </w:rPr>
      </w:pPr>
      <w:r w:rsidRPr="00407805">
        <w:rPr>
          <w:rFonts w:ascii="Arial" w:hAnsi="Arial" w:cs="Arial"/>
          <w:sz w:val="20"/>
          <w:szCs w:val="20"/>
        </w:rPr>
        <w:t>􀂃</w:t>
      </w:r>
      <w:r w:rsidRPr="00407805">
        <w:rPr>
          <w:rFonts w:cs="Wingdings-Regular"/>
          <w:sz w:val="20"/>
          <w:szCs w:val="20"/>
        </w:rPr>
        <w:t xml:space="preserve"> </w:t>
      </w:r>
      <w:r w:rsidRPr="00407805">
        <w:rPr>
          <w:rFonts w:cs="Arial"/>
          <w:sz w:val="20"/>
          <w:szCs w:val="20"/>
        </w:rPr>
        <w:t>5 university campuses and 8 TAFE campuses</w:t>
      </w:r>
    </w:p>
    <w:p w:rsidR="00500C04" w:rsidRPr="00407805" w:rsidRDefault="00500C04" w:rsidP="00500C04">
      <w:pPr>
        <w:rPr>
          <w:sz w:val="20"/>
          <w:szCs w:val="20"/>
        </w:rPr>
      </w:pPr>
      <w:r w:rsidRPr="00407805">
        <w:rPr>
          <w:rFonts w:ascii="Arial" w:hAnsi="Arial" w:cs="Arial"/>
          <w:sz w:val="20"/>
          <w:szCs w:val="20"/>
        </w:rPr>
        <w:t>􀂃</w:t>
      </w:r>
      <w:r w:rsidRPr="00407805">
        <w:rPr>
          <w:rFonts w:cs="Wingdings-Regular"/>
          <w:sz w:val="20"/>
          <w:szCs w:val="20"/>
        </w:rPr>
        <w:t xml:space="preserve"> </w:t>
      </w:r>
      <w:r w:rsidRPr="00407805">
        <w:rPr>
          <w:rFonts w:cs="Arial"/>
          <w:sz w:val="20"/>
          <w:szCs w:val="20"/>
        </w:rPr>
        <w:t>Approximately 20 Community based agencies supporting young people</w:t>
      </w:r>
    </w:p>
    <w:p w:rsidR="00A35251" w:rsidRPr="00407805" w:rsidRDefault="002B7D39">
      <w:pPr>
        <w:rPr>
          <w:sz w:val="20"/>
          <w:szCs w:val="20"/>
        </w:rPr>
      </w:pPr>
      <w:hyperlink r:id="rId24" w:history="1">
        <w:r w:rsidR="00645A93" w:rsidRPr="00407805">
          <w:rPr>
            <w:rStyle w:val="Hyperlink"/>
            <w:sz w:val="20"/>
            <w:szCs w:val="20"/>
          </w:rPr>
          <w:t>http://seethefutureetrf.eq.edu.au/forms/DYAP.pdf</w:t>
        </w:r>
      </w:hyperlink>
    </w:p>
    <w:p w:rsidR="009B28A0" w:rsidRPr="00420A0B" w:rsidRDefault="009B28A0" w:rsidP="009B28A0">
      <w:pPr>
        <w:rPr>
          <w:b/>
        </w:rPr>
      </w:pPr>
      <w:r w:rsidRPr="00420A0B">
        <w:rPr>
          <w:b/>
        </w:rPr>
        <w:t>Urbane Corridor impact for North Brisbane</w:t>
      </w:r>
    </w:p>
    <w:p w:rsidR="00500C04" w:rsidRDefault="00500C04" w:rsidP="00500C04">
      <w:pPr>
        <w:autoSpaceDE w:val="0"/>
        <w:autoSpaceDN w:val="0"/>
        <w:adjustRightInd w:val="0"/>
        <w:spacing w:after="0" w:line="240" w:lineRule="auto"/>
        <w:rPr>
          <w:rFonts w:cs="FranklinGothicITCbyBT-Book"/>
          <w:sz w:val="20"/>
          <w:szCs w:val="20"/>
        </w:rPr>
      </w:pPr>
      <w:r w:rsidRPr="00407805">
        <w:rPr>
          <w:rFonts w:cs="FranklinGothicITCbyBT-Book"/>
          <w:sz w:val="20"/>
          <w:szCs w:val="20"/>
        </w:rPr>
        <w:t xml:space="preserve">One of the key components of the </w:t>
      </w:r>
      <w:proofErr w:type="spellStart"/>
      <w:r w:rsidRPr="00407805">
        <w:rPr>
          <w:rFonts w:cs="FranklinGothicITCbyBT-Book"/>
          <w:sz w:val="20"/>
          <w:szCs w:val="20"/>
        </w:rPr>
        <w:t>AusLink</w:t>
      </w:r>
      <w:proofErr w:type="spellEnd"/>
      <w:r w:rsidRPr="00407805">
        <w:rPr>
          <w:rFonts w:cs="FranklinGothicITCbyBT-Book"/>
          <w:sz w:val="20"/>
          <w:szCs w:val="20"/>
        </w:rPr>
        <w:t xml:space="preserve"> process</w:t>
      </w:r>
      <w:r w:rsidR="00420A0B">
        <w:rPr>
          <w:rFonts w:cs="FranklinGothicITCbyBT-Book"/>
          <w:sz w:val="20"/>
          <w:szCs w:val="20"/>
        </w:rPr>
        <w:t xml:space="preserve"> </w:t>
      </w:r>
      <w:r w:rsidRPr="00407805">
        <w:rPr>
          <w:rFonts w:cs="FranklinGothicITCbyBT-Book"/>
          <w:sz w:val="20"/>
          <w:szCs w:val="20"/>
        </w:rPr>
        <w:t>is the development of a strategy for each corridor of</w:t>
      </w:r>
      <w:r w:rsidR="00420A0B">
        <w:rPr>
          <w:rFonts w:cs="FranklinGothicITCbyBT-Book"/>
          <w:sz w:val="20"/>
          <w:szCs w:val="20"/>
        </w:rPr>
        <w:t xml:space="preserve"> </w:t>
      </w:r>
      <w:r w:rsidRPr="00407805">
        <w:rPr>
          <w:rFonts w:cs="FranklinGothicITCbyBT-Book"/>
          <w:sz w:val="20"/>
          <w:szCs w:val="20"/>
        </w:rPr>
        <w:t xml:space="preserve">the </w:t>
      </w:r>
      <w:proofErr w:type="spellStart"/>
      <w:r w:rsidRPr="00407805">
        <w:rPr>
          <w:rFonts w:cs="FranklinGothicITCbyBT-Book"/>
          <w:sz w:val="20"/>
          <w:szCs w:val="20"/>
        </w:rPr>
        <w:t>AusLink</w:t>
      </w:r>
      <w:proofErr w:type="spellEnd"/>
      <w:r w:rsidRPr="00407805">
        <w:rPr>
          <w:rFonts w:cs="FranklinGothicITCbyBT-Book"/>
          <w:sz w:val="20"/>
          <w:szCs w:val="20"/>
        </w:rPr>
        <w:t xml:space="preserve"> National Network. A Corridor Strategy is</w:t>
      </w:r>
      <w:r w:rsidR="00420A0B">
        <w:rPr>
          <w:rFonts w:cs="FranklinGothicITCbyBT-Book"/>
          <w:sz w:val="20"/>
          <w:szCs w:val="20"/>
        </w:rPr>
        <w:t xml:space="preserve"> </w:t>
      </w:r>
      <w:r w:rsidRPr="00407805">
        <w:rPr>
          <w:rFonts w:cs="FranklinGothicITCbyBT-Book"/>
          <w:sz w:val="20"/>
          <w:szCs w:val="20"/>
        </w:rPr>
        <w:t>a statement of the shared strategic priorities of the</w:t>
      </w:r>
      <w:r w:rsidR="00420A0B">
        <w:rPr>
          <w:rFonts w:cs="FranklinGothicITCbyBT-Book"/>
          <w:sz w:val="20"/>
          <w:szCs w:val="20"/>
        </w:rPr>
        <w:t xml:space="preserve"> </w:t>
      </w:r>
      <w:r w:rsidRPr="00407805">
        <w:rPr>
          <w:rFonts w:cs="FranklinGothicITCbyBT-Book"/>
          <w:sz w:val="20"/>
          <w:szCs w:val="20"/>
        </w:rPr>
        <w:t>Australian and State/Territory Governments for the</w:t>
      </w:r>
      <w:r w:rsidR="00420A0B">
        <w:rPr>
          <w:rFonts w:cs="FranklinGothicITCbyBT-Book"/>
          <w:sz w:val="20"/>
          <w:szCs w:val="20"/>
        </w:rPr>
        <w:t xml:space="preserve"> </w:t>
      </w:r>
      <w:r w:rsidRPr="00407805">
        <w:rPr>
          <w:rFonts w:cs="FranklinGothicITCbyBT-Book"/>
          <w:sz w:val="20"/>
          <w:szCs w:val="20"/>
        </w:rPr>
        <w:t>long-term (20-25 year) development of the corridor.</w:t>
      </w:r>
      <w:r w:rsidR="00420A0B">
        <w:rPr>
          <w:rFonts w:cs="FranklinGothicITCbyBT-Book"/>
          <w:sz w:val="20"/>
          <w:szCs w:val="20"/>
        </w:rPr>
        <w:t xml:space="preserve"> </w:t>
      </w:r>
      <w:r w:rsidRPr="00407805">
        <w:rPr>
          <w:rFonts w:cs="FranklinGothicITCbyBT-Book"/>
          <w:sz w:val="20"/>
          <w:szCs w:val="20"/>
        </w:rPr>
        <w:t>Corridor strategies provide guidance to decision</w:t>
      </w:r>
      <w:r w:rsidR="00420A0B">
        <w:rPr>
          <w:rFonts w:cs="FranklinGothicITCbyBT-Book"/>
          <w:sz w:val="20"/>
          <w:szCs w:val="20"/>
        </w:rPr>
        <w:t xml:space="preserve"> </w:t>
      </w:r>
      <w:r w:rsidRPr="00407805">
        <w:rPr>
          <w:rFonts w:cs="FranklinGothicITCbyBT-Book"/>
          <w:sz w:val="20"/>
          <w:szCs w:val="20"/>
        </w:rPr>
        <w:t>makers</w:t>
      </w:r>
      <w:r w:rsidR="00420A0B">
        <w:rPr>
          <w:rFonts w:cs="FranklinGothicITCbyBT-Book"/>
          <w:sz w:val="20"/>
          <w:szCs w:val="20"/>
        </w:rPr>
        <w:t xml:space="preserve"> </w:t>
      </w:r>
      <w:r w:rsidRPr="00407805">
        <w:rPr>
          <w:rFonts w:cs="FranklinGothicITCbyBT-Book"/>
          <w:sz w:val="20"/>
          <w:szCs w:val="20"/>
        </w:rPr>
        <w:t>and project proponents formulating</w:t>
      </w:r>
      <w:r w:rsidR="00420A0B">
        <w:rPr>
          <w:rFonts w:cs="FranklinGothicITCbyBT-Book"/>
          <w:sz w:val="20"/>
          <w:szCs w:val="20"/>
        </w:rPr>
        <w:t xml:space="preserve"> </w:t>
      </w:r>
      <w:r w:rsidRPr="00407805">
        <w:rPr>
          <w:rFonts w:cs="FranklinGothicITCbyBT-Book"/>
          <w:sz w:val="20"/>
          <w:szCs w:val="20"/>
        </w:rPr>
        <w:t>network initiatives and most importantly, inform</w:t>
      </w:r>
      <w:r w:rsidR="00420A0B">
        <w:rPr>
          <w:rFonts w:cs="FranklinGothicITCbyBT-Book"/>
          <w:sz w:val="20"/>
          <w:szCs w:val="20"/>
        </w:rPr>
        <w:t xml:space="preserve"> </w:t>
      </w:r>
      <w:r w:rsidRPr="00407805">
        <w:rPr>
          <w:rFonts w:cs="FranklinGothicITCbyBT-Book"/>
          <w:sz w:val="20"/>
          <w:szCs w:val="20"/>
        </w:rPr>
        <w:t>development of the next and subsequent National</w:t>
      </w:r>
      <w:r w:rsidR="00420A0B">
        <w:rPr>
          <w:rFonts w:cs="FranklinGothicITCbyBT-Book"/>
          <w:sz w:val="20"/>
          <w:szCs w:val="20"/>
        </w:rPr>
        <w:t xml:space="preserve"> </w:t>
      </w:r>
      <w:r w:rsidRPr="00407805">
        <w:rPr>
          <w:rFonts w:cs="FranklinGothicITCbyBT-Book"/>
          <w:sz w:val="20"/>
          <w:szCs w:val="20"/>
        </w:rPr>
        <w:t>Land Transport Plans.</w:t>
      </w:r>
    </w:p>
    <w:p w:rsidR="00420A0B" w:rsidRPr="00407805" w:rsidRDefault="00420A0B" w:rsidP="00500C04">
      <w:pPr>
        <w:autoSpaceDE w:val="0"/>
        <w:autoSpaceDN w:val="0"/>
        <w:adjustRightInd w:val="0"/>
        <w:spacing w:after="0" w:line="240" w:lineRule="auto"/>
        <w:rPr>
          <w:rFonts w:cs="FranklinGothicITCbyBT-Book"/>
          <w:sz w:val="20"/>
          <w:szCs w:val="20"/>
        </w:rPr>
      </w:pPr>
    </w:p>
    <w:p w:rsidR="009B28A0" w:rsidRPr="00407805" w:rsidRDefault="00500C04" w:rsidP="00420A0B">
      <w:pPr>
        <w:autoSpaceDE w:val="0"/>
        <w:autoSpaceDN w:val="0"/>
        <w:adjustRightInd w:val="0"/>
        <w:spacing w:after="0" w:line="240" w:lineRule="auto"/>
        <w:rPr>
          <w:sz w:val="20"/>
          <w:szCs w:val="20"/>
        </w:rPr>
      </w:pPr>
      <w:r w:rsidRPr="00407805">
        <w:rPr>
          <w:rFonts w:cs="FranklinGothicITCbyBT-Book"/>
          <w:sz w:val="20"/>
          <w:szCs w:val="20"/>
        </w:rPr>
        <w:lastRenderedPageBreak/>
        <w:t xml:space="preserve">Consistent with the spirit of </w:t>
      </w:r>
      <w:proofErr w:type="spellStart"/>
      <w:r w:rsidRPr="00407805">
        <w:rPr>
          <w:rFonts w:cs="FranklinGothicITCbyBT-Book"/>
          <w:sz w:val="20"/>
          <w:szCs w:val="20"/>
        </w:rPr>
        <w:t>AusLink</w:t>
      </w:r>
      <w:proofErr w:type="spellEnd"/>
      <w:r w:rsidRPr="00407805">
        <w:rPr>
          <w:rFonts w:cs="FranklinGothicITCbyBT-Book"/>
          <w:sz w:val="20"/>
          <w:szCs w:val="20"/>
        </w:rPr>
        <w:t>, the Brisbane</w:t>
      </w:r>
      <w:r w:rsidR="00420A0B">
        <w:rPr>
          <w:rFonts w:cs="FranklinGothicITCbyBT-Book"/>
          <w:sz w:val="20"/>
          <w:szCs w:val="20"/>
        </w:rPr>
        <w:t xml:space="preserve"> </w:t>
      </w:r>
      <w:r w:rsidRPr="00407805">
        <w:rPr>
          <w:rFonts w:cs="FranklinGothicITCbyBT-Book"/>
          <w:sz w:val="20"/>
          <w:szCs w:val="20"/>
        </w:rPr>
        <w:t>Urban Corridor Strategy is a collaborative initiative</w:t>
      </w:r>
      <w:r w:rsidR="00420A0B">
        <w:rPr>
          <w:rFonts w:cs="FranklinGothicITCbyBT-Book"/>
          <w:sz w:val="20"/>
          <w:szCs w:val="20"/>
        </w:rPr>
        <w:t xml:space="preserve"> </w:t>
      </w:r>
      <w:r w:rsidRPr="00407805">
        <w:rPr>
          <w:rFonts w:cs="FranklinGothicITCbyBT-Book"/>
          <w:sz w:val="20"/>
          <w:szCs w:val="20"/>
        </w:rPr>
        <w:t>that is jointly owned by the Australian Government</w:t>
      </w:r>
      <w:r w:rsidR="00420A0B">
        <w:rPr>
          <w:rFonts w:cs="FranklinGothicITCbyBT-Book"/>
          <w:sz w:val="20"/>
          <w:szCs w:val="20"/>
        </w:rPr>
        <w:t xml:space="preserve"> </w:t>
      </w:r>
      <w:r w:rsidRPr="00407805">
        <w:rPr>
          <w:rFonts w:cs="FranklinGothicITCbyBT-Book"/>
          <w:sz w:val="20"/>
          <w:szCs w:val="20"/>
        </w:rPr>
        <w:t>Department of Transport and Regional Services,</w:t>
      </w:r>
      <w:r w:rsidR="00420A0B">
        <w:rPr>
          <w:rFonts w:cs="FranklinGothicITCbyBT-Book"/>
          <w:sz w:val="20"/>
          <w:szCs w:val="20"/>
        </w:rPr>
        <w:t xml:space="preserve"> </w:t>
      </w:r>
      <w:r w:rsidRPr="00407805">
        <w:rPr>
          <w:rFonts w:cs="FranklinGothicITCbyBT-Book"/>
          <w:sz w:val="20"/>
          <w:szCs w:val="20"/>
        </w:rPr>
        <w:t>and Queensland Departments of Main Roads and</w:t>
      </w:r>
      <w:r w:rsidR="00420A0B">
        <w:rPr>
          <w:rFonts w:cs="FranklinGothicITCbyBT-Book"/>
          <w:sz w:val="20"/>
          <w:szCs w:val="20"/>
        </w:rPr>
        <w:t xml:space="preserve"> </w:t>
      </w:r>
      <w:r w:rsidRPr="00407805">
        <w:rPr>
          <w:rFonts w:cs="FranklinGothicITCbyBT-Book"/>
          <w:sz w:val="20"/>
          <w:szCs w:val="20"/>
        </w:rPr>
        <w:t>Transport. The strategy was prepared by a project</w:t>
      </w:r>
      <w:r w:rsidR="00420A0B">
        <w:rPr>
          <w:rFonts w:cs="FranklinGothicITCbyBT-Book"/>
          <w:sz w:val="20"/>
          <w:szCs w:val="20"/>
        </w:rPr>
        <w:t xml:space="preserve"> </w:t>
      </w:r>
      <w:r w:rsidRPr="00407805">
        <w:rPr>
          <w:rFonts w:cs="FranklinGothicITCbyBT-Book"/>
          <w:sz w:val="20"/>
          <w:szCs w:val="20"/>
        </w:rPr>
        <w:t>team comprising representatives from these</w:t>
      </w:r>
      <w:r w:rsidR="00420A0B">
        <w:rPr>
          <w:rFonts w:cs="FranklinGothicITCbyBT-Book"/>
          <w:sz w:val="20"/>
          <w:szCs w:val="20"/>
        </w:rPr>
        <w:t xml:space="preserve"> </w:t>
      </w:r>
      <w:r w:rsidRPr="00407805">
        <w:rPr>
          <w:rFonts w:cs="FranklinGothicITCbyBT-Book"/>
          <w:sz w:val="20"/>
          <w:szCs w:val="20"/>
        </w:rPr>
        <w:t>agencies and builds on planning work undertaken</w:t>
      </w:r>
      <w:r w:rsidR="00420A0B">
        <w:rPr>
          <w:rFonts w:cs="FranklinGothicITCbyBT-Book"/>
          <w:sz w:val="20"/>
          <w:szCs w:val="20"/>
        </w:rPr>
        <w:t xml:space="preserve"> </w:t>
      </w:r>
      <w:r w:rsidRPr="00407805">
        <w:rPr>
          <w:rFonts w:cs="FranklinGothicITCbyBT-Book"/>
          <w:sz w:val="20"/>
          <w:szCs w:val="20"/>
        </w:rPr>
        <w:t>by the Queensland Government.</w:t>
      </w:r>
    </w:p>
    <w:p w:rsidR="009B28A0" w:rsidRPr="00407805" w:rsidRDefault="002B7D39" w:rsidP="009B28A0">
      <w:pPr>
        <w:rPr>
          <w:sz w:val="20"/>
          <w:szCs w:val="20"/>
        </w:rPr>
      </w:pPr>
      <w:hyperlink r:id="rId25" w:history="1">
        <w:r w:rsidR="009B28A0" w:rsidRPr="00407805">
          <w:rPr>
            <w:rStyle w:val="Hyperlink"/>
            <w:sz w:val="20"/>
            <w:szCs w:val="20"/>
          </w:rPr>
          <w:t>http://www.infrastructure.gov.au/transport/publications/files/Brisbane_Urban_Corridor_Strategy.pdf</w:t>
        </w:r>
      </w:hyperlink>
    </w:p>
    <w:p w:rsidR="009B28A0" w:rsidRPr="00407805" w:rsidRDefault="009B28A0" w:rsidP="009B28A0">
      <w:pPr>
        <w:rPr>
          <w:sz w:val="20"/>
          <w:szCs w:val="20"/>
        </w:rPr>
      </w:pPr>
    </w:p>
    <w:p w:rsidR="00FE0C66" w:rsidRPr="00420A0B" w:rsidRDefault="00FE0C66" w:rsidP="00FE0C66">
      <w:pPr>
        <w:autoSpaceDE w:val="0"/>
        <w:autoSpaceDN w:val="0"/>
        <w:adjustRightInd w:val="0"/>
        <w:spacing w:after="0" w:line="240" w:lineRule="auto"/>
        <w:rPr>
          <w:rFonts w:cs="Verdana"/>
          <w:b/>
          <w:color w:val="000000"/>
        </w:rPr>
      </w:pPr>
      <w:r w:rsidRPr="00420A0B">
        <w:rPr>
          <w:rFonts w:cs="Verdana"/>
          <w:b/>
          <w:color w:val="000000"/>
        </w:rPr>
        <w:t>Brisbane facts</w:t>
      </w:r>
    </w:p>
    <w:p w:rsidR="00FE0C66" w:rsidRPr="00407805" w:rsidRDefault="00FE0C66" w:rsidP="00FE0C66">
      <w:pPr>
        <w:autoSpaceDE w:val="0"/>
        <w:autoSpaceDN w:val="0"/>
        <w:adjustRightInd w:val="0"/>
        <w:spacing w:after="0" w:line="240" w:lineRule="auto"/>
        <w:rPr>
          <w:rFonts w:cs="Verdana"/>
          <w:color w:val="000000"/>
          <w:sz w:val="20"/>
          <w:szCs w:val="20"/>
        </w:rPr>
      </w:pPr>
    </w:p>
    <w:p w:rsidR="00FE0C66" w:rsidRPr="00407805" w:rsidRDefault="00FE0C66" w:rsidP="00FE0C66">
      <w:pPr>
        <w:autoSpaceDE w:val="0"/>
        <w:autoSpaceDN w:val="0"/>
        <w:adjustRightInd w:val="0"/>
        <w:spacing w:after="0" w:line="240" w:lineRule="auto"/>
        <w:rPr>
          <w:rFonts w:cs="Verdana"/>
          <w:color w:val="000000"/>
          <w:sz w:val="20"/>
          <w:szCs w:val="20"/>
        </w:rPr>
      </w:pPr>
      <w:r w:rsidRPr="00407805">
        <w:rPr>
          <w:rFonts w:eastAsia="ArialMT" w:cs="ArialMT"/>
          <w:color w:val="FF6500"/>
          <w:sz w:val="20"/>
          <w:szCs w:val="20"/>
        </w:rPr>
        <w:t xml:space="preserve">■ </w:t>
      </w:r>
      <w:r w:rsidRPr="00407805">
        <w:rPr>
          <w:rFonts w:cs="Verdana"/>
          <w:color w:val="000000"/>
          <w:sz w:val="20"/>
          <w:szCs w:val="20"/>
        </w:rPr>
        <w:t>Brisbane is the largest of Australia’s six capital cities by geographic area and the third largest municipality</w:t>
      </w:r>
    </w:p>
    <w:p w:rsidR="00FE0C66" w:rsidRPr="00407805" w:rsidRDefault="00FE0C66" w:rsidP="00FE0C66">
      <w:pPr>
        <w:autoSpaceDE w:val="0"/>
        <w:autoSpaceDN w:val="0"/>
        <w:adjustRightInd w:val="0"/>
        <w:spacing w:after="0" w:line="240" w:lineRule="auto"/>
        <w:rPr>
          <w:rFonts w:cs="Verdana"/>
          <w:color w:val="000000"/>
          <w:sz w:val="20"/>
          <w:szCs w:val="20"/>
        </w:rPr>
      </w:pPr>
      <w:proofErr w:type="gramStart"/>
      <w:r w:rsidRPr="00407805">
        <w:rPr>
          <w:rFonts w:cs="Verdana"/>
          <w:color w:val="000000"/>
          <w:sz w:val="20"/>
          <w:szCs w:val="20"/>
        </w:rPr>
        <w:t>in</w:t>
      </w:r>
      <w:proofErr w:type="gramEnd"/>
      <w:r w:rsidRPr="00407805">
        <w:rPr>
          <w:rFonts w:cs="Verdana"/>
          <w:color w:val="000000"/>
          <w:sz w:val="20"/>
          <w:szCs w:val="20"/>
        </w:rPr>
        <w:t xml:space="preserve"> the world, spread over 2,116 square km (4,600 sq km’s).</w:t>
      </w:r>
    </w:p>
    <w:p w:rsidR="00FE0C66" w:rsidRPr="00407805" w:rsidRDefault="00FE0C66" w:rsidP="00FE0C66">
      <w:pPr>
        <w:autoSpaceDE w:val="0"/>
        <w:autoSpaceDN w:val="0"/>
        <w:adjustRightInd w:val="0"/>
        <w:spacing w:after="0" w:line="240" w:lineRule="auto"/>
        <w:rPr>
          <w:rFonts w:cs="Verdana"/>
          <w:color w:val="000000"/>
          <w:sz w:val="20"/>
          <w:szCs w:val="20"/>
        </w:rPr>
      </w:pPr>
      <w:r w:rsidRPr="00407805">
        <w:rPr>
          <w:rFonts w:eastAsia="ArialMT" w:cs="ArialMT"/>
          <w:color w:val="FF6500"/>
          <w:sz w:val="20"/>
          <w:szCs w:val="20"/>
        </w:rPr>
        <w:t xml:space="preserve">■ </w:t>
      </w:r>
      <w:r w:rsidRPr="00407805">
        <w:rPr>
          <w:rFonts w:cs="Verdana"/>
          <w:color w:val="000000"/>
          <w:sz w:val="20"/>
          <w:szCs w:val="20"/>
        </w:rPr>
        <w:t>Brisbane has the largest population growth (no.) by LGA for any Australian capital city.</w:t>
      </w:r>
    </w:p>
    <w:p w:rsidR="00FE0C66" w:rsidRPr="00407805" w:rsidRDefault="00FE0C66" w:rsidP="00FE0C66">
      <w:pPr>
        <w:autoSpaceDE w:val="0"/>
        <w:autoSpaceDN w:val="0"/>
        <w:adjustRightInd w:val="0"/>
        <w:spacing w:after="0" w:line="240" w:lineRule="auto"/>
        <w:rPr>
          <w:rFonts w:cs="Verdana"/>
          <w:color w:val="000000"/>
          <w:sz w:val="20"/>
          <w:szCs w:val="20"/>
        </w:rPr>
      </w:pPr>
      <w:r w:rsidRPr="00407805">
        <w:rPr>
          <w:rFonts w:eastAsia="ArialMT" w:cs="ArialMT"/>
          <w:color w:val="FF6500"/>
          <w:sz w:val="20"/>
          <w:szCs w:val="20"/>
        </w:rPr>
        <w:t xml:space="preserve">■ </w:t>
      </w:r>
      <w:r w:rsidRPr="00407805">
        <w:rPr>
          <w:rFonts w:cs="Verdana"/>
          <w:color w:val="000000"/>
          <w:sz w:val="20"/>
          <w:szCs w:val="20"/>
        </w:rPr>
        <w:t>Brisbane local government area (LGA) is the first LGA in Australia to pass the population milestone of one</w:t>
      </w:r>
    </w:p>
    <w:p w:rsidR="00FE0C66" w:rsidRPr="00407805" w:rsidRDefault="00FE0C66" w:rsidP="00FE0C66">
      <w:pPr>
        <w:autoSpaceDE w:val="0"/>
        <w:autoSpaceDN w:val="0"/>
        <w:adjustRightInd w:val="0"/>
        <w:spacing w:after="0" w:line="240" w:lineRule="auto"/>
        <w:rPr>
          <w:rFonts w:cs="Verdana"/>
          <w:color w:val="000000"/>
          <w:sz w:val="20"/>
          <w:szCs w:val="20"/>
        </w:rPr>
      </w:pPr>
      <w:proofErr w:type="gramStart"/>
      <w:r w:rsidRPr="00407805">
        <w:rPr>
          <w:rFonts w:cs="Verdana"/>
          <w:color w:val="000000"/>
          <w:sz w:val="20"/>
          <w:szCs w:val="20"/>
        </w:rPr>
        <w:t>million</w:t>
      </w:r>
      <w:proofErr w:type="gramEnd"/>
      <w:r w:rsidRPr="00407805">
        <w:rPr>
          <w:rFonts w:cs="Verdana"/>
          <w:color w:val="000000"/>
          <w:sz w:val="20"/>
          <w:szCs w:val="20"/>
        </w:rPr>
        <w:t>, reaching 1,010,000 people in June 2007.1</w:t>
      </w:r>
    </w:p>
    <w:p w:rsidR="00FE0C66" w:rsidRPr="00407805" w:rsidRDefault="00FE0C66" w:rsidP="00FE0C66">
      <w:pPr>
        <w:autoSpaceDE w:val="0"/>
        <w:autoSpaceDN w:val="0"/>
        <w:adjustRightInd w:val="0"/>
        <w:spacing w:after="0" w:line="240" w:lineRule="auto"/>
        <w:rPr>
          <w:rFonts w:cs="Verdana"/>
          <w:color w:val="000000"/>
          <w:sz w:val="20"/>
          <w:szCs w:val="20"/>
        </w:rPr>
      </w:pPr>
      <w:r w:rsidRPr="00407805">
        <w:rPr>
          <w:rFonts w:eastAsia="ArialMT" w:cs="ArialMT"/>
          <w:color w:val="FF6500"/>
          <w:sz w:val="20"/>
          <w:szCs w:val="20"/>
        </w:rPr>
        <w:t xml:space="preserve">■ </w:t>
      </w:r>
      <w:r w:rsidRPr="00407805">
        <w:rPr>
          <w:rFonts w:cs="Verdana"/>
          <w:color w:val="000000"/>
          <w:sz w:val="20"/>
          <w:szCs w:val="20"/>
        </w:rPr>
        <w:t>Brisbane City Council (BCC) is the largest city council in the Asia Pacific, managing a budget of over $1.6</w:t>
      </w:r>
    </w:p>
    <w:p w:rsidR="00FE0C66" w:rsidRPr="00407805" w:rsidRDefault="00FE0C66" w:rsidP="00FE0C66">
      <w:pPr>
        <w:autoSpaceDE w:val="0"/>
        <w:autoSpaceDN w:val="0"/>
        <w:adjustRightInd w:val="0"/>
        <w:spacing w:after="0" w:line="240" w:lineRule="auto"/>
        <w:rPr>
          <w:rFonts w:cs="Verdana"/>
          <w:color w:val="000000"/>
          <w:sz w:val="20"/>
          <w:szCs w:val="20"/>
        </w:rPr>
      </w:pPr>
      <w:proofErr w:type="gramStart"/>
      <w:r w:rsidRPr="00407805">
        <w:rPr>
          <w:rFonts w:cs="Verdana"/>
          <w:color w:val="000000"/>
          <w:sz w:val="20"/>
          <w:szCs w:val="20"/>
        </w:rPr>
        <w:t>billion</w:t>
      </w:r>
      <w:proofErr w:type="gramEnd"/>
      <w:r w:rsidRPr="00407805">
        <w:rPr>
          <w:rFonts w:cs="Verdana"/>
          <w:color w:val="000000"/>
          <w:sz w:val="20"/>
          <w:szCs w:val="20"/>
        </w:rPr>
        <w:t>, with managed assets in excess of $16 billion. BCC administers the entire metropolitan area of</w:t>
      </w:r>
    </w:p>
    <w:p w:rsidR="00FE0C66" w:rsidRPr="00407805" w:rsidRDefault="00FE0C66" w:rsidP="00FE0C66">
      <w:pPr>
        <w:autoSpaceDE w:val="0"/>
        <w:autoSpaceDN w:val="0"/>
        <w:adjustRightInd w:val="0"/>
        <w:spacing w:after="0" w:line="240" w:lineRule="auto"/>
        <w:rPr>
          <w:rFonts w:cs="Verdana"/>
          <w:color w:val="000000"/>
          <w:sz w:val="20"/>
          <w:szCs w:val="20"/>
        </w:rPr>
      </w:pPr>
      <w:r w:rsidRPr="00407805">
        <w:rPr>
          <w:rFonts w:cs="Verdana"/>
          <w:color w:val="000000"/>
          <w:sz w:val="20"/>
          <w:szCs w:val="20"/>
        </w:rPr>
        <w:t>Brisbane and is the most powerful, and politically influential, local authority in Australia.</w:t>
      </w:r>
    </w:p>
    <w:p w:rsidR="00FE0C66" w:rsidRPr="00407805" w:rsidRDefault="00FE0C66" w:rsidP="00FE0C66">
      <w:pPr>
        <w:autoSpaceDE w:val="0"/>
        <w:autoSpaceDN w:val="0"/>
        <w:adjustRightInd w:val="0"/>
        <w:spacing w:after="0" w:line="240" w:lineRule="auto"/>
        <w:rPr>
          <w:rFonts w:cs="Verdana"/>
          <w:color w:val="000000"/>
          <w:sz w:val="20"/>
          <w:szCs w:val="20"/>
        </w:rPr>
      </w:pPr>
      <w:r w:rsidRPr="00407805">
        <w:rPr>
          <w:rFonts w:eastAsia="ArialMT" w:cs="ArialMT"/>
          <w:color w:val="FF6500"/>
          <w:sz w:val="20"/>
          <w:szCs w:val="20"/>
        </w:rPr>
        <w:t xml:space="preserve">■ </w:t>
      </w:r>
      <w:r w:rsidRPr="00407805">
        <w:rPr>
          <w:rFonts w:cs="Verdana"/>
          <w:color w:val="000000"/>
          <w:sz w:val="20"/>
          <w:szCs w:val="20"/>
        </w:rPr>
        <w:t>Median age of residents is 35 years old and more than 25% of residents were born overseas.1</w:t>
      </w:r>
    </w:p>
    <w:p w:rsidR="00FE0C66" w:rsidRPr="00407805" w:rsidRDefault="00FE0C66" w:rsidP="00FE0C66">
      <w:pPr>
        <w:autoSpaceDE w:val="0"/>
        <w:autoSpaceDN w:val="0"/>
        <w:adjustRightInd w:val="0"/>
        <w:spacing w:after="0" w:line="240" w:lineRule="auto"/>
        <w:rPr>
          <w:rFonts w:cs="Verdana"/>
          <w:color w:val="000000"/>
          <w:sz w:val="20"/>
          <w:szCs w:val="20"/>
        </w:rPr>
      </w:pPr>
      <w:r w:rsidRPr="00407805">
        <w:rPr>
          <w:rFonts w:eastAsia="ArialMT" w:cs="ArialMT"/>
          <w:color w:val="FF6500"/>
          <w:sz w:val="20"/>
          <w:szCs w:val="20"/>
        </w:rPr>
        <w:t xml:space="preserve">■ </w:t>
      </w:r>
      <w:r w:rsidRPr="00407805">
        <w:rPr>
          <w:rFonts w:cs="Verdana"/>
          <w:color w:val="000000"/>
          <w:sz w:val="20"/>
          <w:szCs w:val="20"/>
        </w:rPr>
        <w:t>1.84 million residents, equal to one third of Queensland’s entire population, and around 570,000</w:t>
      </w:r>
    </w:p>
    <w:p w:rsidR="00FE0C66" w:rsidRPr="00407805" w:rsidRDefault="00FE0C66" w:rsidP="00FE0C66">
      <w:pPr>
        <w:autoSpaceDE w:val="0"/>
        <w:autoSpaceDN w:val="0"/>
        <w:adjustRightInd w:val="0"/>
        <w:spacing w:after="0" w:line="240" w:lineRule="auto"/>
        <w:rPr>
          <w:rFonts w:cs="Verdana"/>
          <w:color w:val="000000"/>
          <w:sz w:val="20"/>
          <w:szCs w:val="20"/>
        </w:rPr>
      </w:pPr>
      <w:proofErr w:type="gramStart"/>
      <w:r w:rsidRPr="00407805">
        <w:rPr>
          <w:rFonts w:cs="Verdana"/>
          <w:color w:val="000000"/>
          <w:sz w:val="20"/>
          <w:szCs w:val="20"/>
        </w:rPr>
        <w:t>businesses</w:t>
      </w:r>
      <w:proofErr w:type="gramEnd"/>
      <w:r w:rsidRPr="00407805">
        <w:rPr>
          <w:rFonts w:cs="Verdana"/>
          <w:color w:val="000000"/>
          <w:sz w:val="20"/>
          <w:szCs w:val="20"/>
        </w:rPr>
        <w:t>.</w:t>
      </w:r>
    </w:p>
    <w:p w:rsidR="00FE0C66" w:rsidRPr="00407805" w:rsidRDefault="00FE0C66" w:rsidP="00FE0C66">
      <w:pPr>
        <w:autoSpaceDE w:val="0"/>
        <w:autoSpaceDN w:val="0"/>
        <w:adjustRightInd w:val="0"/>
        <w:spacing w:after="0" w:line="240" w:lineRule="auto"/>
        <w:rPr>
          <w:rFonts w:cs="Verdana"/>
          <w:color w:val="000000"/>
          <w:sz w:val="20"/>
          <w:szCs w:val="20"/>
        </w:rPr>
      </w:pPr>
      <w:r w:rsidRPr="00407805">
        <w:rPr>
          <w:rFonts w:eastAsia="ArialMT" w:cs="ArialMT"/>
          <w:color w:val="FF6500"/>
          <w:sz w:val="20"/>
          <w:szCs w:val="20"/>
        </w:rPr>
        <w:t xml:space="preserve">■ </w:t>
      </w:r>
      <w:r w:rsidRPr="00407805">
        <w:rPr>
          <w:rFonts w:cs="Verdana"/>
          <w:color w:val="000000"/>
          <w:sz w:val="20"/>
          <w:szCs w:val="20"/>
        </w:rPr>
        <w:t>21.7% of Brisbane’s population were born overseas, with the highest numbers being from the UK, New</w:t>
      </w:r>
    </w:p>
    <w:p w:rsidR="00FE0C66" w:rsidRPr="00407805" w:rsidRDefault="00FE0C66" w:rsidP="00FE0C66">
      <w:pPr>
        <w:autoSpaceDE w:val="0"/>
        <w:autoSpaceDN w:val="0"/>
        <w:adjustRightInd w:val="0"/>
        <w:spacing w:after="0" w:line="240" w:lineRule="auto"/>
        <w:rPr>
          <w:rFonts w:cs="Verdana"/>
          <w:color w:val="000000"/>
          <w:sz w:val="20"/>
          <w:szCs w:val="20"/>
        </w:rPr>
      </w:pPr>
      <w:proofErr w:type="gramStart"/>
      <w:r w:rsidRPr="00407805">
        <w:rPr>
          <w:rFonts w:cs="Verdana"/>
          <w:color w:val="000000"/>
          <w:sz w:val="20"/>
          <w:szCs w:val="20"/>
        </w:rPr>
        <w:t>Zealand, South Africa, Vietnam and Scotland.</w:t>
      </w:r>
      <w:proofErr w:type="gramEnd"/>
    </w:p>
    <w:p w:rsidR="00FE0C66" w:rsidRPr="00407805" w:rsidRDefault="00FE0C66" w:rsidP="00FE0C66">
      <w:pPr>
        <w:autoSpaceDE w:val="0"/>
        <w:autoSpaceDN w:val="0"/>
        <w:adjustRightInd w:val="0"/>
        <w:spacing w:after="0" w:line="240" w:lineRule="auto"/>
        <w:rPr>
          <w:rFonts w:cs="Verdana"/>
          <w:color w:val="000000"/>
          <w:sz w:val="20"/>
          <w:szCs w:val="20"/>
        </w:rPr>
      </w:pPr>
      <w:r w:rsidRPr="00407805">
        <w:rPr>
          <w:rFonts w:eastAsia="ArialMT" w:cs="ArialMT"/>
          <w:color w:val="FF6500"/>
          <w:sz w:val="20"/>
          <w:szCs w:val="20"/>
        </w:rPr>
        <w:t xml:space="preserve">■ </w:t>
      </w:r>
      <w:r w:rsidRPr="00407805">
        <w:rPr>
          <w:rFonts w:cs="Verdana"/>
          <w:color w:val="000000"/>
          <w:sz w:val="20"/>
          <w:szCs w:val="20"/>
        </w:rPr>
        <w:t>Brisbane has averaged economic growth of more than 4.5% for the last 20 years.</w:t>
      </w:r>
    </w:p>
    <w:p w:rsidR="00FE0C66" w:rsidRPr="00407805" w:rsidRDefault="00FE0C66" w:rsidP="00FE0C66">
      <w:pPr>
        <w:autoSpaceDE w:val="0"/>
        <w:autoSpaceDN w:val="0"/>
        <w:adjustRightInd w:val="0"/>
        <w:spacing w:after="0" w:line="240" w:lineRule="auto"/>
        <w:rPr>
          <w:rFonts w:cs="Verdana"/>
          <w:color w:val="000000"/>
          <w:sz w:val="20"/>
          <w:szCs w:val="20"/>
        </w:rPr>
      </w:pPr>
      <w:r w:rsidRPr="00407805">
        <w:rPr>
          <w:rFonts w:eastAsia="ArialMT" w:cs="ArialMT"/>
          <w:color w:val="FF6500"/>
          <w:sz w:val="20"/>
          <w:szCs w:val="20"/>
        </w:rPr>
        <w:t xml:space="preserve">■ </w:t>
      </w:r>
      <w:r w:rsidRPr="00407805">
        <w:rPr>
          <w:rFonts w:cs="Verdana"/>
          <w:color w:val="000000"/>
          <w:sz w:val="20"/>
          <w:szCs w:val="20"/>
        </w:rPr>
        <w:t>Brisbane is the closest major Australian capital to the Asia Pacific region.</w:t>
      </w:r>
    </w:p>
    <w:p w:rsidR="009B28A0" w:rsidRPr="00407805" w:rsidRDefault="00FE0C66" w:rsidP="00FE0C66">
      <w:pPr>
        <w:rPr>
          <w:sz w:val="20"/>
          <w:szCs w:val="20"/>
        </w:rPr>
      </w:pPr>
      <w:r w:rsidRPr="00407805">
        <w:rPr>
          <w:rFonts w:eastAsia="ArialMT" w:cs="ArialMT"/>
          <w:color w:val="FF6500"/>
          <w:sz w:val="20"/>
          <w:szCs w:val="20"/>
        </w:rPr>
        <w:t xml:space="preserve">■ </w:t>
      </w:r>
      <w:r w:rsidRPr="00407805">
        <w:rPr>
          <w:rFonts w:cs="Verdana"/>
          <w:color w:val="000000"/>
          <w:sz w:val="20"/>
          <w:szCs w:val="20"/>
        </w:rPr>
        <w:t>Of the OECD countries, Brisbane was the 32nd fastest growing region between 2001 and 2006</w:t>
      </w:r>
    </w:p>
    <w:p w:rsidR="009B28A0" w:rsidRPr="00407805" w:rsidRDefault="002B7D39" w:rsidP="009B28A0">
      <w:pPr>
        <w:rPr>
          <w:sz w:val="20"/>
          <w:szCs w:val="20"/>
        </w:rPr>
      </w:pPr>
      <w:hyperlink r:id="rId26" w:history="1">
        <w:r w:rsidR="009B28A0" w:rsidRPr="00407805">
          <w:rPr>
            <w:rStyle w:val="Hyperlink"/>
            <w:sz w:val="20"/>
            <w:szCs w:val="20"/>
          </w:rPr>
          <w:t>http://www.investbrisbane.com.au/Brochures/Brief_Look_At_Brisbane.pdf</w:t>
        </w:r>
      </w:hyperlink>
    </w:p>
    <w:p w:rsidR="009B28A0" w:rsidRPr="00407805" w:rsidRDefault="009B28A0" w:rsidP="009B28A0">
      <w:pPr>
        <w:rPr>
          <w:sz w:val="20"/>
          <w:szCs w:val="20"/>
        </w:rPr>
      </w:pPr>
    </w:p>
    <w:p w:rsidR="009B28A0" w:rsidRPr="00420A0B" w:rsidRDefault="009B28A0" w:rsidP="009B28A0">
      <w:pPr>
        <w:rPr>
          <w:b/>
        </w:rPr>
      </w:pPr>
      <w:r w:rsidRPr="00420A0B">
        <w:rPr>
          <w:b/>
        </w:rPr>
        <w:t>Brisbane north suburbs</w:t>
      </w:r>
    </w:p>
    <w:p w:rsidR="00407805" w:rsidRPr="00407805" w:rsidRDefault="00407805" w:rsidP="00407805">
      <w:pPr>
        <w:spacing w:before="100" w:beforeAutospacing="1" w:after="100" w:afterAutospacing="1" w:line="384" w:lineRule="atLeast"/>
        <w:rPr>
          <w:rFonts w:eastAsia="Times New Roman" w:cs="Arial"/>
          <w:color w:val="333333"/>
          <w:sz w:val="20"/>
          <w:szCs w:val="20"/>
        </w:rPr>
      </w:pPr>
      <w:r w:rsidRPr="00407805">
        <w:rPr>
          <w:rFonts w:eastAsia="Times New Roman" w:cs="Arial"/>
          <w:color w:val="333333"/>
          <w:sz w:val="20"/>
          <w:szCs w:val="20"/>
        </w:rPr>
        <w:t>Looking for a new home in Brisbane, Queensland? Looking for information about living in Brisbane's northern suburbs? You’ve come to the right place. Browse comprehensive suburb profiles, Real Estate Institute of QLD (REIQ) market research, investment advice, house price trends, photo galleries, property listings and more.</w:t>
      </w:r>
    </w:p>
    <w:p w:rsidR="009B28A0" w:rsidRPr="00407805" w:rsidRDefault="002B7D39" w:rsidP="009B28A0">
      <w:pPr>
        <w:rPr>
          <w:sz w:val="20"/>
          <w:szCs w:val="20"/>
        </w:rPr>
      </w:pPr>
      <w:hyperlink r:id="rId27" w:history="1">
        <w:r w:rsidR="009B28A0" w:rsidRPr="00407805">
          <w:rPr>
            <w:rStyle w:val="Hyperlink"/>
            <w:sz w:val="20"/>
            <w:szCs w:val="20"/>
          </w:rPr>
          <w:t>http://www.ourbrisbane.com/suburbs/north</w:t>
        </w:r>
      </w:hyperlink>
    </w:p>
    <w:p w:rsidR="00C278CB" w:rsidRDefault="00C278CB">
      <w:pPr>
        <w:rPr>
          <w:sz w:val="20"/>
          <w:szCs w:val="20"/>
        </w:rPr>
      </w:pPr>
    </w:p>
    <w:p w:rsidR="00300E5D" w:rsidRPr="00300E5D" w:rsidRDefault="00300E5D">
      <w:pPr>
        <w:rPr>
          <w:b/>
        </w:rPr>
      </w:pPr>
      <w:r w:rsidRPr="00300E5D">
        <w:rPr>
          <w:b/>
        </w:rPr>
        <w:t>Partnerships</w:t>
      </w:r>
    </w:p>
    <w:p w:rsidR="00300E5D" w:rsidRDefault="00300E5D">
      <w:pPr>
        <w:rPr>
          <w:sz w:val="20"/>
          <w:szCs w:val="20"/>
        </w:rPr>
      </w:pPr>
    </w:p>
    <w:p w:rsidR="00300E5D" w:rsidRDefault="002B7D39">
      <w:pPr>
        <w:rPr>
          <w:sz w:val="20"/>
          <w:szCs w:val="20"/>
        </w:rPr>
      </w:pPr>
      <w:hyperlink r:id="rId28" w:history="1">
        <w:r w:rsidR="00300E5D" w:rsidRPr="004F1562">
          <w:rPr>
            <w:rStyle w:val="Hyperlink"/>
            <w:sz w:val="20"/>
            <w:szCs w:val="20"/>
          </w:rPr>
          <w:t>http://www.visibleink.org/brisbane-youth-spaces/visible-ink-zillmere/what-is-happening-at-viz/</w:t>
        </w:r>
      </w:hyperlink>
    </w:p>
    <w:p w:rsidR="00300E5D" w:rsidRDefault="00300E5D">
      <w:pPr>
        <w:rPr>
          <w:sz w:val="20"/>
          <w:szCs w:val="20"/>
        </w:rPr>
      </w:pPr>
      <w:r>
        <w:rPr>
          <w:rFonts w:ascii="Verdana" w:hAnsi="Verdana"/>
        </w:rPr>
        <w:t>New Energy for Zonal Planning and Partnerships</w:t>
      </w:r>
    </w:p>
    <w:p w:rsidR="00300E5D" w:rsidRDefault="002B7D39">
      <w:pPr>
        <w:rPr>
          <w:sz w:val="20"/>
          <w:szCs w:val="20"/>
        </w:rPr>
      </w:pPr>
      <w:hyperlink r:id="rId29" w:history="1">
        <w:r w:rsidR="000E5195" w:rsidRPr="004F1562">
          <w:rPr>
            <w:rStyle w:val="Hyperlink"/>
            <w:sz w:val="20"/>
            <w:szCs w:val="20"/>
          </w:rPr>
          <w:t>http://www.childsafety.qld.gov.au/partners/forum/zppn/brisbane-north.html</w:t>
        </w:r>
      </w:hyperlink>
    </w:p>
    <w:p w:rsidR="000E5195" w:rsidRDefault="000E5195">
      <w:pPr>
        <w:rPr>
          <w:sz w:val="20"/>
          <w:szCs w:val="20"/>
        </w:rPr>
      </w:pPr>
    </w:p>
    <w:p w:rsidR="00F10CC2" w:rsidRPr="00F10CC2" w:rsidRDefault="00F10CC2" w:rsidP="00F10CC2">
      <w:pPr>
        <w:autoSpaceDE w:val="0"/>
        <w:autoSpaceDN w:val="0"/>
        <w:adjustRightInd w:val="0"/>
        <w:spacing w:after="0" w:line="240" w:lineRule="auto"/>
        <w:rPr>
          <w:rFonts w:cs="Arial"/>
          <w:bCs/>
          <w:sz w:val="20"/>
          <w:szCs w:val="20"/>
        </w:rPr>
      </w:pPr>
      <w:r w:rsidRPr="00F10CC2">
        <w:rPr>
          <w:rFonts w:cs="Arial"/>
          <w:bCs/>
          <w:sz w:val="20"/>
          <w:szCs w:val="20"/>
        </w:rPr>
        <w:t>Kelvin Grove State College is a unique, committed and collaborative P-12</w:t>
      </w:r>
    </w:p>
    <w:p w:rsidR="00F10CC2" w:rsidRPr="00F10CC2" w:rsidRDefault="00F10CC2" w:rsidP="00F10CC2">
      <w:pPr>
        <w:autoSpaceDE w:val="0"/>
        <w:autoSpaceDN w:val="0"/>
        <w:adjustRightInd w:val="0"/>
        <w:spacing w:after="0" w:line="240" w:lineRule="auto"/>
        <w:rPr>
          <w:rFonts w:cs="Arial"/>
          <w:bCs/>
          <w:sz w:val="20"/>
          <w:szCs w:val="20"/>
        </w:rPr>
      </w:pPr>
      <w:proofErr w:type="gramStart"/>
      <w:r w:rsidRPr="00F10CC2">
        <w:rPr>
          <w:rFonts w:cs="Arial"/>
          <w:bCs/>
          <w:sz w:val="20"/>
          <w:szCs w:val="20"/>
        </w:rPr>
        <w:t>educational</w:t>
      </w:r>
      <w:proofErr w:type="gramEnd"/>
      <w:r w:rsidRPr="00F10CC2">
        <w:rPr>
          <w:rFonts w:cs="Arial"/>
          <w:bCs/>
          <w:sz w:val="20"/>
          <w:szCs w:val="20"/>
        </w:rPr>
        <w:t xml:space="preserve"> institution that seeks to provide a supportive and engaging learning</w:t>
      </w:r>
    </w:p>
    <w:p w:rsidR="000E5195" w:rsidRDefault="00F10CC2" w:rsidP="00F10CC2">
      <w:pPr>
        <w:rPr>
          <w:rFonts w:cs="Arial"/>
          <w:bCs/>
          <w:sz w:val="20"/>
          <w:szCs w:val="20"/>
        </w:rPr>
      </w:pPr>
      <w:proofErr w:type="gramStart"/>
      <w:r w:rsidRPr="00F10CC2">
        <w:rPr>
          <w:rFonts w:cs="Arial"/>
          <w:bCs/>
          <w:sz w:val="20"/>
          <w:szCs w:val="20"/>
        </w:rPr>
        <w:t>environment</w:t>
      </w:r>
      <w:proofErr w:type="gramEnd"/>
      <w:r w:rsidRPr="00F10CC2">
        <w:rPr>
          <w:rFonts w:cs="Arial"/>
          <w:bCs/>
          <w:sz w:val="20"/>
          <w:szCs w:val="20"/>
        </w:rPr>
        <w:t xml:space="preserve"> for all.</w:t>
      </w:r>
    </w:p>
    <w:p w:rsidR="00F10CC2" w:rsidRDefault="002B7D39" w:rsidP="00F10CC2">
      <w:pPr>
        <w:rPr>
          <w:sz w:val="20"/>
          <w:szCs w:val="20"/>
        </w:rPr>
      </w:pPr>
      <w:hyperlink r:id="rId30" w:history="1">
        <w:r w:rsidR="00F10CC2" w:rsidRPr="004F1562">
          <w:rPr>
            <w:rStyle w:val="Hyperlink"/>
            <w:sz w:val="20"/>
            <w:szCs w:val="20"/>
          </w:rPr>
          <w:t>http://kelvingrovesc.eq.edu.au/docs/KGSC%20Partnerships%202009.pdf</w:t>
        </w:r>
      </w:hyperlink>
    </w:p>
    <w:p w:rsidR="005E4AD9" w:rsidRDefault="005E4AD9" w:rsidP="00F10CC2">
      <w:pPr>
        <w:rPr>
          <w:sz w:val="20"/>
          <w:szCs w:val="20"/>
        </w:rPr>
      </w:pPr>
    </w:p>
    <w:p w:rsidR="00F10CC2" w:rsidRDefault="005E4AD9" w:rsidP="00F10CC2">
      <w:pPr>
        <w:rPr>
          <w:sz w:val="20"/>
          <w:szCs w:val="20"/>
        </w:rPr>
      </w:pPr>
      <w:r w:rsidRPr="005E4AD9">
        <w:rPr>
          <w:sz w:val="20"/>
          <w:szCs w:val="20"/>
        </w:rPr>
        <w:t>Cross-Cultural Healthy Lifestyle Education Partnership (CHEP)</w:t>
      </w:r>
    </w:p>
    <w:p w:rsidR="005E4AD9" w:rsidRDefault="002B7D39" w:rsidP="00F10CC2">
      <w:pPr>
        <w:rPr>
          <w:sz w:val="20"/>
          <w:szCs w:val="20"/>
        </w:rPr>
      </w:pPr>
      <w:hyperlink r:id="rId31" w:history="1">
        <w:r w:rsidR="005E4AD9" w:rsidRPr="004F1562">
          <w:rPr>
            <w:rStyle w:val="Hyperlink"/>
            <w:sz w:val="20"/>
            <w:szCs w:val="20"/>
          </w:rPr>
          <w:t>http://www.eccq.com.au/default.asp?contentID=892</w:t>
        </w:r>
      </w:hyperlink>
    </w:p>
    <w:p w:rsidR="005E4AD9" w:rsidRDefault="005E4AD9" w:rsidP="00F10CC2">
      <w:pPr>
        <w:rPr>
          <w:sz w:val="20"/>
          <w:szCs w:val="20"/>
        </w:rPr>
      </w:pPr>
    </w:p>
    <w:p w:rsidR="005E4AD9" w:rsidRDefault="005E4AD9" w:rsidP="00F10CC2">
      <w:pPr>
        <w:rPr>
          <w:sz w:val="20"/>
          <w:szCs w:val="20"/>
        </w:rPr>
      </w:pPr>
      <w:r>
        <w:rPr>
          <w:sz w:val="20"/>
          <w:szCs w:val="20"/>
        </w:rPr>
        <w:t>Learning Partnerships Conference papers</w:t>
      </w:r>
    </w:p>
    <w:p w:rsidR="005E4AD9" w:rsidRDefault="002B7D39" w:rsidP="00F10CC2">
      <w:pPr>
        <w:rPr>
          <w:sz w:val="20"/>
          <w:szCs w:val="20"/>
        </w:rPr>
      </w:pPr>
      <w:hyperlink r:id="rId32" w:history="1">
        <w:r w:rsidR="005E4AD9" w:rsidRPr="004F1562">
          <w:rPr>
            <w:rStyle w:val="Hyperlink"/>
            <w:sz w:val="20"/>
            <w:szCs w:val="20"/>
          </w:rPr>
          <w:t>http://videolinq.tafe.net/learningtechnologies2006/papers.html</w:t>
        </w:r>
      </w:hyperlink>
    </w:p>
    <w:p w:rsidR="005E4AD9" w:rsidRPr="005E4AD9" w:rsidRDefault="005E4AD9" w:rsidP="00F10CC2">
      <w:pPr>
        <w:rPr>
          <w:sz w:val="20"/>
          <w:szCs w:val="20"/>
        </w:rPr>
      </w:pPr>
    </w:p>
    <w:sectPr w:rsidR="005E4AD9" w:rsidRPr="005E4AD9" w:rsidSect="00556B74">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TE12F6368t00">
    <w:panose1 w:val="00000000000000000000"/>
    <w:charset w:val="00"/>
    <w:family w:val="auto"/>
    <w:notTrueType/>
    <w:pitch w:val="default"/>
    <w:sig w:usb0="00000003" w:usb1="00000000" w:usb2="00000000" w:usb3="00000000" w:csb0="00000001" w:csb1="00000000"/>
  </w:font>
  <w:font w:name="TTE134D2B0t00">
    <w:panose1 w:val="00000000000000000000"/>
    <w:charset w:val="00"/>
    <w:family w:val="auto"/>
    <w:notTrueType/>
    <w:pitch w:val="default"/>
    <w:sig w:usb0="00000003" w:usb1="00000000" w:usb2="00000000" w:usb3="00000000" w:csb0="00000001" w:csb1="00000000"/>
  </w:font>
  <w:font w:name="TTE1315380t00">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F62"/>
    <w:multiLevelType w:val="multilevel"/>
    <w:tmpl w:val="6FB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00D72"/>
    <w:multiLevelType w:val="hybridMultilevel"/>
    <w:tmpl w:val="6834F18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nsid w:val="524A2E01"/>
    <w:multiLevelType w:val="hybridMultilevel"/>
    <w:tmpl w:val="2F485E6E"/>
    <w:lvl w:ilvl="0" w:tplc="B7A0238C">
      <w:start w:val="1"/>
      <w:numFmt w:val="bullet"/>
      <w:lvlText w:val=""/>
      <w:lvlJc w:val="left"/>
      <w:pPr>
        <w:tabs>
          <w:tab w:val="num" w:pos="811"/>
        </w:tabs>
        <w:ind w:left="811" w:hanging="454"/>
      </w:pPr>
      <w:rPr>
        <w:rFonts w:ascii="Symbol" w:hAnsi="Symbol" w:hint="default"/>
        <w:color w:val="auto"/>
        <w:sz w:val="23"/>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
    <w:nsid w:val="535F2079"/>
    <w:multiLevelType w:val="hybridMultilevel"/>
    <w:tmpl w:val="3318A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67157A0"/>
    <w:multiLevelType w:val="hybridMultilevel"/>
    <w:tmpl w:val="1C683C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7A03894"/>
    <w:multiLevelType w:val="multilevel"/>
    <w:tmpl w:val="6506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E1C43"/>
    <w:multiLevelType w:val="hybridMultilevel"/>
    <w:tmpl w:val="84449506"/>
    <w:lvl w:ilvl="0" w:tplc="B74C8BD2">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7C5A5431"/>
    <w:multiLevelType w:val="hybridMultilevel"/>
    <w:tmpl w:val="52C60F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051EFB"/>
    <w:rsid w:val="000229BC"/>
    <w:rsid w:val="00051EFB"/>
    <w:rsid w:val="000E5195"/>
    <w:rsid w:val="001A3840"/>
    <w:rsid w:val="00210390"/>
    <w:rsid w:val="00215007"/>
    <w:rsid w:val="00251820"/>
    <w:rsid w:val="00284C2A"/>
    <w:rsid w:val="002B7D39"/>
    <w:rsid w:val="00300E5D"/>
    <w:rsid w:val="00407805"/>
    <w:rsid w:val="004104F8"/>
    <w:rsid w:val="00420A0B"/>
    <w:rsid w:val="004A6E04"/>
    <w:rsid w:val="004F6EF4"/>
    <w:rsid w:val="00500C04"/>
    <w:rsid w:val="0050544C"/>
    <w:rsid w:val="00554C23"/>
    <w:rsid w:val="00556B74"/>
    <w:rsid w:val="005E4AD9"/>
    <w:rsid w:val="00645A93"/>
    <w:rsid w:val="006D70AA"/>
    <w:rsid w:val="00752307"/>
    <w:rsid w:val="008036E5"/>
    <w:rsid w:val="0082409B"/>
    <w:rsid w:val="008C33CB"/>
    <w:rsid w:val="008D3282"/>
    <w:rsid w:val="009B28A0"/>
    <w:rsid w:val="009C4334"/>
    <w:rsid w:val="00A35251"/>
    <w:rsid w:val="00AE6B14"/>
    <w:rsid w:val="00C278CB"/>
    <w:rsid w:val="00CD75B3"/>
    <w:rsid w:val="00CD775D"/>
    <w:rsid w:val="00DB6964"/>
    <w:rsid w:val="00DF048D"/>
    <w:rsid w:val="00E13629"/>
    <w:rsid w:val="00EF5D04"/>
    <w:rsid w:val="00F03C1F"/>
    <w:rsid w:val="00F10CC2"/>
    <w:rsid w:val="00FC73B3"/>
    <w:rsid w:val="00FC78FE"/>
    <w:rsid w:val="00FE0C66"/>
    <w:rsid w:val="00FE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1">
      <o:colormenu v:ext="edit" strokecolor="none [3212]"/>
    </o:shapedefaults>
    <o:shapelayout v:ext="edit">
      <o:idmap v:ext="edit" data="1"/>
      <o:rules v:ext="edit">
        <o:r id="V:Rule18" type="connector" idref="#_x0000_s1135"/>
        <o:r id="V:Rule19" type="connector" idref="#_x0000_s1116"/>
        <o:r id="V:Rule20" type="connector" idref="#_x0000_s1114"/>
        <o:r id="V:Rule21" type="connector" idref="#_x0000_s1120"/>
        <o:r id="V:Rule22" type="connector" idref="#_x0000_s1107"/>
        <o:r id="V:Rule23" type="connector" idref="#_x0000_s1127"/>
        <o:r id="V:Rule24" type="connector" idref="#_x0000_s1139"/>
        <o:r id="V:Rule25" type="connector" idref="#_x0000_s1124"/>
        <o:r id="V:Rule26" type="connector" idref="#_x0000_s1113"/>
        <o:r id="V:Rule27" type="connector" idref="#_x0000_s1122"/>
        <o:r id="V:Rule28" type="connector" idref="#_x0000_s1106"/>
        <o:r id="V:Rule29" type="connector" idref="#_x0000_s1115"/>
        <o:r id="V:Rule30" type="connector" idref="#_x0000_s1137"/>
        <o:r id="V:Rule31" type="connector" idref="#_x0000_s1121"/>
        <o:r id="V:Rule32" type="connector" idref="#_x0000_s1131"/>
        <o:r id="V:Rule33" type="connector" idref="#_x0000_s1108"/>
        <o:r id="V:Rule34"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23"/>
  </w:style>
  <w:style w:type="paragraph" w:styleId="Heading1">
    <w:name w:val="heading 1"/>
    <w:basedOn w:val="Normal"/>
    <w:link w:val="Heading1Char"/>
    <w:uiPriority w:val="9"/>
    <w:qFormat/>
    <w:rsid w:val="00CD75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FB"/>
    <w:rPr>
      <w:rFonts w:ascii="Tahoma" w:hAnsi="Tahoma" w:cs="Tahoma"/>
      <w:sz w:val="16"/>
      <w:szCs w:val="16"/>
    </w:rPr>
  </w:style>
  <w:style w:type="paragraph" w:styleId="ListParagraph">
    <w:name w:val="List Paragraph"/>
    <w:basedOn w:val="Normal"/>
    <w:uiPriority w:val="34"/>
    <w:qFormat/>
    <w:rsid w:val="00051EFB"/>
    <w:pPr>
      <w:spacing w:after="0" w:line="240" w:lineRule="auto"/>
      <w:ind w:left="720"/>
      <w:contextualSpacing/>
    </w:pPr>
    <w:rPr>
      <w:rFonts w:ascii="Arial" w:eastAsia="Times New Roman" w:hAnsi="Arial" w:cs="Times New Roman"/>
      <w:szCs w:val="20"/>
      <w:lang w:val="en-AU"/>
    </w:rPr>
  </w:style>
  <w:style w:type="character" w:customStyle="1" w:styleId="heading10">
    <w:name w:val="heading1"/>
    <w:basedOn w:val="DefaultParagraphFont"/>
    <w:rsid w:val="00DB6964"/>
    <w:rPr>
      <w:rFonts w:ascii="Georgia" w:hAnsi="Georgia" w:hint="default"/>
      <w:color w:val="730000"/>
      <w:sz w:val="29"/>
      <w:szCs w:val="29"/>
    </w:rPr>
  </w:style>
  <w:style w:type="character" w:styleId="Hyperlink">
    <w:name w:val="Hyperlink"/>
    <w:basedOn w:val="DefaultParagraphFont"/>
    <w:rsid w:val="00FE1B25"/>
    <w:rPr>
      <w:color w:val="0000FF"/>
      <w:u w:val="single"/>
    </w:rPr>
  </w:style>
  <w:style w:type="paragraph" w:styleId="NormalWeb">
    <w:name w:val="Normal (Web)"/>
    <w:basedOn w:val="Normal"/>
    <w:uiPriority w:val="99"/>
    <w:semiHidden/>
    <w:unhideWhenUsed/>
    <w:rsid w:val="00284C2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28A0"/>
    <w:rPr>
      <w:color w:val="800080" w:themeColor="followedHyperlink"/>
      <w:u w:val="single"/>
    </w:rPr>
  </w:style>
  <w:style w:type="character" w:customStyle="1" w:styleId="Heading1Char">
    <w:name w:val="Heading 1 Char"/>
    <w:basedOn w:val="DefaultParagraphFont"/>
    <w:link w:val="Heading1"/>
    <w:uiPriority w:val="9"/>
    <w:rsid w:val="00CD75B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57284350">
      <w:bodyDiv w:val="1"/>
      <w:marLeft w:val="0"/>
      <w:marRight w:val="0"/>
      <w:marTop w:val="0"/>
      <w:marBottom w:val="0"/>
      <w:divBdr>
        <w:top w:val="none" w:sz="0" w:space="0" w:color="auto"/>
        <w:left w:val="none" w:sz="0" w:space="0" w:color="auto"/>
        <w:bottom w:val="none" w:sz="0" w:space="0" w:color="auto"/>
        <w:right w:val="none" w:sz="0" w:space="0" w:color="auto"/>
      </w:divBdr>
      <w:divsChild>
        <w:div w:id="558832836">
          <w:marLeft w:val="0"/>
          <w:marRight w:val="0"/>
          <w:marTop w:val="0"/>
          <w:marBottom w:val="0"/>
          <w:divBdr>
            <w:top w:val="none" w:sz="0" w:space="0" w:color="auto"/>
            <w:left w:val="none" w:sz="0" w:space="0" w:color="auto"/>
            <w:bottom w:val="none" w:sz="0" w:space="0" w:color="auto"/>
            <w:right w:val="none" w:sz="0" w:space="0" w:color="auto"/>
          </w:divBdr>
          <w:divsChild>
            <w:div w:id="1393626207">
              <w:marLeft w:val="0"/>
              <w:marRight w:val="0"/>
              <w:marTop w:val="0"/>
              <w:marBottom w:val="0"/>
              <w:divBdr>
                <w:top w:val="none" w:sz="0" w:space="0" w:color="auto"/>
                <w:left w:val="none" w:sz="0" w:space="0" w:color="auto"/>
                <w:bottom w:val="none" w:sz="0" w:space="0" w:color="auto"/>
                <w:right w:val="none" w:sz="0" w:space="0" w:color="auto"/>
              </w:divBdr>
              <w:divsChild>
                <w:div w:id="1798838316">
                  <w:marLeft w:val="0"/>
                  <w:marRight w:val="0"/>
                  <w:marTop w:val="0"/>
                  <w:marBottom w:val="0"/>
                  <w:divBdr>
                    <w:top w:val="none" w:sz="0" w:space="0" w:color="auto"/>
                    <w:left w:val="none" w:sz="0" w:space="0" w:color="auto"/>
                    <w:bottom w:val="none" w:sz="0" w:space="0" w:color="auto"/>
                    <w:right w:val="none" w:sz="0" w:space="0" w:color="auto"/>
                  </w:divBdr>
                  <w:divsChild>
                    <w:div w:id="2050179082">
                      <w:marLeft w:val="0"/>
                      <w:marRight w:val="0"/>
                      <w:marTop w:val="0"/>
                      <w:marBottom w:val="0"/>
                      <w:divBdr>
                        <w:top w:val="none" w:sz="0" w:space="0" w:color="auto"/>
                        <w:left w:val="none" w:sz="0" w:space="0" w:color="auto"/>
                        <w:bottom w:val="none" w:sz="0" w:space="0" w:color="auto"/>
                        <w:right w:val="none" w:sz="0" w:space="0" w:color="auto"/>
                      </w:divBdr>
                      <w:divsChild>
                        <w:div w:id="7188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da.qld.gov.au/_dbase_upl/NSH%20newsletter%203%20final.pdf" TargetMode="External"/><Relationship Id="rId13" Type="http://schemas.openxmlformats.org/officeDocument/2006/relationships/image" Target="media/image4.jpeg"/><Relationship Id="rId18" Type="http://schemas.openxmlformats.org/officeDocument/2006/relationships/hyperlink" Target="http://www.oum.qld.gov.au/?id=29" TargetMode="External"/><Relationship Id="rId26" Type="http://schemas.openxmlformats.org/officeDocument/2006/relationships/hyperlink" Target="http://www.investbrisbane.com.au/Brochures/Brief_Look_At_Brisbane.pdf" TargetMode="External"/><Relationship Id="rId3" Type="http://schemas.openxmlformats.org/officeDocument/2006/relationships/styles" Target="styles.xml"/><Relationship Id="rId21" Type="http://schemas.openxmlformats.org/officeDocument/2006/relationships/hyperlink" Target="http://www.aracy.org.au/publicationDocuments/REP_Preventing_Youth_Disengagement_and_Promoting_Engagement-Burns_J_et_al_August_2008.pdf" TargetMode="External"/><Relationship Id="rId34"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www.ulda.qld.gov.au/_dbase_upl/NorthshoreFS.pdf" TargetMode="External"/><Relationship Id="rId17" Type="http://schemas.openxmlformats.org/officeDocument/2006/relationships/hyperlink" Target="http://www.ulda.qld.gov.au/_dbase_upl/BowenHillsFS.pdf" TargetMode="External"/><Relationship Id="rId25" Type="http://schemas.openxmlformats.org/officeDocument/2006/relationships/hyperlink" Target="http://www.infrastructure.gov.au/transport/publications/files/Brisbane_Urban_Corridor_Strategy.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lda.qld.gov.au/_dbase_upl/BHCommunity_Newsletter1.pdf" TargetMode="External"/><Relationship Id="rId20" Type="http://schemas.openxmlformats.org/officeDocument/2006/relationships/hyperlink" Target="http://www.homelessnessinfo.net.au/index.php?option=com_content&amp;view=article&amp;id=573:preventing-youth-disengagement-and-promoting-engagement&amp;catid=143:continuous-quality-improvement&amp;Itemid=188" TargetMode="External"/><Relationship Id="rId29" Type="http://schemas.openxmlformats.org/officeDocument/2006/relationships/hyperlink" Target="http://www.childsafety.qld.gov.au/partners/forum/zppn/brisbane-north.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lda.qld.gov.au/_dbase_upl/NHCommunity_Newsletter1.pdf" TargetMode="External"/><Relationship Id="rId24" Type="http://schemas.openxmlformats.org/officeDocument/2006/relationships/hyperlink" Target="http://seethefutureetrf.eq.edu.au/forms/DYAP.pdf" TargetMode="External"/><Relationship Id="rId32" Type="http://schemas.openxmlformats.org/officeDocument/2006/relationships/hyperlink" Target="http://videolinq.tafe.net/learningtechnologies2006/papers.html" TargetMode="External"/><Relationship Id="rId5" Type="http://schemas.openxmlformats.org/officeDocument/2006/relationships/webSettings" Target="webSettings.xml"/><Relationship Id="rId15" Type="http://schemas.openxmlformats.org/officeDocument/2006/relationships/hyperlink" Target="http://www.ulda.qld.gov.au/_dbase_upl/20080630_BH_news2.pdf" TargetMode="External"/><Relationship Id="rId23" Type="http://schemas.openxmlformats.org/officeDocument/2006/relationships/hyperlink" Target="http://www.leeds.ac.uk/educol/documents/00003304.htm" TargetMode="External"/><Relationship Id="rId28" Type="http://schemas.openxmlformats.org/officeDocument/2006/relationships/hyperlink" Target="http://www.visibleink.org/brisbane-youth-spaces/visible-ink-zillmere/what-is-happening-at-viz/" TargetMode="External"/><Relationship Id="rId10" Type="http://schemas.openxmlformats.org/officeDocument/2006/relationships/hyperlink" Target="http://www.ulda.qld.gov.au/_dbase_upl/20080630_NSH_news2.pdf" TargetMode="External"/><Relationship Id="rId19" Type="http://schemas.openxmlformats.org/officeDocument/2006/relationships/image" Target="media/image5.jpeg"/><Relationship Id="rId31" Type="http://schemas.openxmlformats.org/officeDocument/2006/relationships/hyperlink" Target="http://www.eccq.com.au/default.asp?contentID=892"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ulda.qld.gov.au/_dbase_upl/BH%20newsletter%203%20final.pdf" TargetMode="External"/><Relationship Id="rId22" Type="http://schemas.openxmlformats.org/officeDocument/2006/relationships/hyperlink" Target="http://www.youthoffthestreets.com.au/downloads/2009_november_national_youth_strategy.pdf" TargetMode="External"/><Relationship Id="rId27" Type="http://schemas.openxmlformats.org/officeDocument/2006/relationships/hyperlink" Target="http://www.ourbrisbane.com/suburbs/north" TargetMode="External"/><Relationship Id="rId30" Type="http://schemas.openxmlformats.org/officeDocument/2006/relationships/hyperlink" Target="http://kelvingrovesc.eq.edu.au/docs/KGSC%20Partnerships%20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A726-2220-4FD0-B545-E73C85AC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BruceR</dc:creator>
  <cp:keywords/>
  <dc:description/>
  <cp:lastModifiedBy>Bill Brown </cp:lastModifiedBy>
  <cp:revision>2</cp:revision>
  <cp:lastPrinted>2010-04-14T00:49:00Z</cp:lastPrinted>
  <dcterms:created xsi:type="dcterms:W3CDTF">2010-04-21T22:25:00Z</dcterms:created>
  <dcterms:modified xsi:type="dcterms:W3CDTF">2010-04-21T22:25:00Z</dcterms:modified>
</cp:coreProperties>
</file>