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0D" w:rsidRDefault="0040650D" w:rsidP="0040650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r>
        <w:rPr>
          <w:rFonts w:ascii="Georgia" w:hAnsi="Georgia"/>
          <w:b/>
          <w:bCs/>
          <w:color w:val="445555"/>
          <w:sz w:val="21"/>
          <w:szCs w:val="21"/>
        </w:rPr>
        <w:t>Remito</w:t>
      </w:r>
    </w:p>
    <w:p w:rsidR="0040650D" w:rsidRDefault="0040650D" w:rsidP="0040650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r>
        <w:rPr>
          <w:rFonts w:ascii="Georgia" w:hAnsi="Georgia"/>
          <w:color w:val="445555"/>
          <w:sz w:val="21"/>
          <w:szCs w:val="21"/>
        </w:rPr>
        <w:t>Se utiliza este comprobante para ejecutar la entrega o remisión de los bienes vendidos. En él, la persona que recibe esos bienes deja constancia de su conformidad, y con ello queda concretado el derecho del vendedor a cobrar y la obligación del comprador a pagar. Sirve de base para la preparación de la</w:t>
      </w:r>
      <w:r>
        <w:rPr>
          <w:rStyle w:val="apple-converted-space"/>
          <w:rFonts w:ascii="Georgia" w:hAnsi="Georgia"/>
          <w:color w:val="445555"/>
          <w:sz w:val="21"/>
          <w:szCs w:val="21"/>
        </w:rPr>
        <w:t> </w:t>
      </w:r>
      <w:r w:rsidRPr="0040650D">
        <w:rPr>
          <w:rFonts w:ascii="Georgia" w:hAnsi="Georgia"/>
          <w:color w:val="445555"/>
          <w:sz w:val="21"/>
          <w:szCs w:val="21"/>
        </w:rPr>
        <w:t>factura</w:t>
      </w:r>
      <w:r>
        <w:rPr>
          <w:rFonts w:ascii="Georgia" w:hAnsi="Georgia"/>
          <w:color w:val="445555"/>
          <w:sz w:val="21"/>
          <w:szCs w:val="21"/>
        </w:rPr>
        <w:t>.</w:t>
      </w:r>
    </w:p>
    <w:p w:rsidR="0040650D" w:rsidRDefault="0040650D" w:rsidP="0040650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r>
        <w:rPr>
          <w:rFonts w:ascii="Georgia" w:hAnsi="Georgia"/>
          <w:color w:val="445555"/>
          <w:sz w:val="21"/>
          <w:szCs w:val="21"/>
        </w:rPr>
        <w:t xml:space="preserve">El remito se extiende por triplicado: el original firmado por el vendedor se entrega al adquirente; el duplicado, con la conformidad del comprador por los efectos que los ha recibido, queda en poder del vendedor y se destina </w:t>
      </w:r>
      <w:proofErr w:type="spellStart"/>
      <w:r>
        <w:rPr>
          <w:rFonts w:ascii="Georgia" w:hAnsi="Georgia"/>
          <w:color w:val="445555"/>
          <w:sz w:val="21"/>
          <w:szCs w:val="21"/>
        </w:rPr>
        <w:t>ala</w:t>
      </w:r>
      <w:proofErr w:type="spellEnd"/>
      <w:r>
        <w:rPr>
          <w:rFonts w:ascii="Georgia" w:hAnsi="Georgia"/>
          <w:color w:val="445555"/>
          <w:sz w:val="21"/>
          <w:szCs w:val="21"/>
        </w:rPr>
        <w:t xml:space="preserve"> sección facturación para que proceda a la emisión de la factura. Por último el triplicado permanece en la sección depósito par constancia de las mercaderías salidas. </w:t>
      </w:r>
    </w:p>
    <w:p w:rsidR="0040650D" w:rsidRDefault="0040650D" w:rsidP="0040650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r>
        <w:rPr>
          <w:noProof/>
        </w:rPr>
        <w:drawing>
          <wp:inline distT="0" distB="0" distL="0" distR="0">
            <wp:extent cx="3157777" cy="3876675"/>
            <wp:effectExtent l="19050" t="0" r="4523" b="0"/>
            <wp:docPr id="1" name="Imagen 1" descr="http://3.bp.blogspot.com/-FJNqP8ZkfB4/TXoqprks39I/AAAAAAAAAAc/n_Mn9h8JA8o/s1600/remi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FJNqP8ZkfB4/TXoqprks39I/AAAAAAAAAAc/n_Mn9h8JA8o/s1600/remit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154" cy="387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77" w:rsidRDefault="0040650D">
      <w:r>
        <w:rPr>
          <w:noProof/>
          <w:lang w:eastAsia="es-ES"/>
        </w:rPr>
        <w:drawing>
          <wp:inline distT="0" distB="0" distL="0" distR="0">
            <wp:extent cx="5400040" cy="2571448"/>
            <wp:effectExtent l="19050" t="0" r="0" b="0"/>
            <wp:docPr id="4" name="Imagen 4" descr="http://www.libertya.org/lib_manual/remito_de_compras_encabe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bertya.org/lib_manual/remito_de_compras_encabez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7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977" w:rsidSect="00E14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50D"/>
    <w:rsid w:val="0040650D"/>
    <w:rsid w:val="00E1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0650D"/>
  </w:style>
  <w:style w:type="character" w:styleId="Hipervnculo">
    <w:name w:val="Hyperlink"/>
    <w:basedOn w:val="Fuentedeprrafopredeter"/>
    <w:uiPriority w:val="99"/>
    <w:semiHidden/>
    <w:unhideWhenUsed/>
    <w:rsid w:val="0040650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1</cp:revision>
  <dcterms:created xsi:type="dcterms:W3CDTF">2011-06-08T04:44:00Z</dcterms:created>
  <dcterms:modified xsi:type="dcterms:W3CDTF">2011-06-08T04:53:00Z</dcterms:modified>
</cp:coreProperties>
</file>