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5" w:rsidRPr="003E4AE5" w:rsidRDefault="00583A05" w:rsidP="00583A05">
      <w:pPr>
        <w:pStyle w:val="BodyText2"/>
        <w:jc w:val="center"/>
        <w:rPr>
          <w:b/>
          <w:sz w:val="40"/>
        </w:rPr>
      </w:pPr>
      <w:r w:rsidRPr="003E4AE5">
        <w:rPr>
          <w:b/>
          <w:sz w:val="40"/>
        </w:rPr>
        <w:t>Operational Plan</w:t>
      </w:r>
    </w:p>
    <w:p w:rsidR="00583A05" w:rsidRDefault="00583A05" w:rsidP="00583A05">
      <w:pPr>
        <w:rPr>
          <w:rFonts w:ascii="Arial" w:hAnsi="Arial" w:cs="Arial"/>
          <w:szCs w:val="32"/>
          <w:lang w:val="en-US"/>
        </w:rPr>
      </w:pPr>
      <w:r>
        <w:rPr>
          <w:rFonts w:ascii="Arial" w:hAnsi="Arial" w:cs="Arial"/>
          <w:szCs w:val="32"/>
          <w:lang w:val="en-US"/>
        </w:rPr>
        <w:t>Identifies the performance targets of individual business units and the way in which the targets will be achieved.</w:t>
      </w:r>
    </w:p>
    <w:p w:rsidR="00583A05" w:rsidRDefault="00583A05" w:rsidP="00583A05">
      <w:pPr>
        <w:rPr>
          <w:rFonts w:ascii="Arial" w:hAnsi="Arial" w:cs="Arial"/>
          <w:szCs w:val="32"/>
          <w:lang w:val="en-US"/>
        </w:rPr>
      </w:pPr>
      <w:r>
        <w:rPr>
          <w:rFonts w:ascii="Arial" w:hAnsi="Arial" w:cs="Arial"/>
          <w:szCs w:val="32"/>
          <w:lang w:val="en-US"/>
        </w:rPr>
        <w:t>Discuss, clarify, confirm, monitor, review, reassess work expectations and requirements.</w:t>
      </w:r>
    </w:p>
    <w:p w:rsidR="00583A05" w:rsidRDefault="00583A05" w:rsidP="00583A05">
      <w:pPr>
        <w:rPr>
          <w:rFonts w:ascii="Arial" w:hAnsi="Arial" w:cs="Arial"/>
          <w:b/>
          <w:sz w:val="20"/>
          <w:szCs w:val="20"/>
          <w:lang w:val="en-US"/>
        </w:rPr>
      </w:pPr>
    </w:p>
    <w:p w:rsidR="00583A05" w:rsidRPr="004C0869" w:rsidRDefault="00583A05" w:rsidP="00583A05">
      <w:pPr>
        <w:rPr>
          <w:rFonts w:ascii="Arial" w:hAnsi="Arial" w:cs="Arial"/>
          <w:sz w:val="20"/>
          <w:szCs w:val="20"/>
          <w:lang w:val="en-US"/>
        </w:rPr>
      </w:pPr>
      <w:r>
        <w:rPr>
          <w:rFonts w:ascii="Arial" w:hAnsi="Arial" w:cs="Arial"/>
          <w:b/>
          <w:sz w:val="20"/>
          <w:szCs w:val="20"/>
          <w:lang w:val="en-US"/>
        </w:rPr>
        <w:t xml:space="preserve">SMARTER Goals: </w:t>
      </w:r>
      <w:r w:rsidRPr="004C0869">
        <w:rPr>
          <w:rFonts w:ascii="Arial" w:hAnsi="Arial" w:cs="Arial"/>
          <w:b/>
          <w:lang w:val="en-US"/>
        </w:rPr>
        <w:t>S</w:t>
      </w:r>
      <w:r>
        <w:rPr>
          <w:rFonts w:ascii="Arial" w:hAnsi="Arial" w:cs="Arial"/>
          <w:b/>
          <w:sz w:val="20"/>
          <w:szCs w:val="20"/>
          <w:lang w:val="en-US"/>
        </w:rPr>
        <w:t xml:space="preserve">pecific, </w:t>
      </w:r>
      <w:r w:rsidRPr="004C0869">
        <w:rPr>
          <w:rFonts w:ascii="Arial" w:hAnsi="Arial" w:cs="Arial"/>
          <w:b/>
          <w:lang w:val="en-US"/>
        </w:rPr>
        <w:t>M</w:t>
      </w:r>
      <w:r>
        <w:rPr>
          <w:rFonts w:ascii="Arial" w:hAnsi="Arial" w:cs="Arial"/>
          <w:b/>
          <w:sz w:val="20"/>
          <w:szCs w:val="20"/>
          <w:lang w:val="en-US"/>
        </w:rPr>
        <w:t xml:space="preserve">easureable - me, </w:t>
      </w:r>
      <w:r w:rsidRPr="004C0869">
        <w:rPr>
          <w:rFonts w:ascii="Arial" w:hAnsi="Arial" w:cs="Arial"/>
          <w:b/>
          <w:lang w:val="en-US"/>
        </w:rPr>
        <w:t>A</w:t>
      </w:r>
      <w:r>
        <w:rPr>
          <w:rFonts w:ascii="Arial" w:hAnsi="Arial" w:cs="Arial"/>
          <w:b/>
          <w:sz w:val="20"/>
          <w:szCs w:val="20"/>
          <w:lang w:val="en-US"/>
        </w:rPr>
        <w:t xml:space="preserve">chievable – challenging, </w:t>
      </w:r>
      <w:r w:rsidRPr="004C0869">
        <w:rPr>
          <w:rFonts w:ascii="Arial" w:hAnsi="Arial" w:cs="Arial"/>
          <w:b/>
          <w:lang w:val="en-US"/>
        </w:rPr>
        <w:t>R</w:t>
      </w:r>
      <w:r>
        <w:rPr>
          <w:rFonts w:ascii="Arial" w:hAnsi="Arial" w:cs="Arial"/>
          <w:b/>
          <w:sz w:val="20"/>
          <w:szCs w:val="20"/>
          <w:lang w:val="en-US"/>
        </w:rPr>
        <w:t xml:space="preserve">ealistic &amp; responsible, </w:t>
      </w:r>
      <w:r w:rsidRPr="004C0869">
        <w:rPr>
          <w:rFonts w:ascii="Arial" w:hAnsi="Arial" w:cs="Arial"/>
          <w:b/>
          <w:lang w:val="en-US"/>
        </w:rPr>
        <w:t>T</w:t>
      </w:r>
      <w:r>
        <w:rPr>
          <w:rFonts w:ascii="Arial" w:hAnsi="Arial" w:cs="Arial"/>
          <w:b/>
          <w:sz w:val="20"/>
          <w:szCs w:val="20"/>
          <w:lang w:val="en-US"/>
        </w:rPr>
        <w:t xml:space="preserve">imely, </w:t>
      </w:r>
      <w:r w:rsidRPr="004C0869">
        <w:rPr>
          <w:rFonts w:ascii="Arial" w:hAnsi="Arial" w:cs="Arial"/>
          <w:b/>
          <w:lang w:val="en-US"/>
        </w:rPr>
        <w:t>E</w:t>
      </w:r>
      <w:r>
        <w:rPr>
          <w:rFonts w:ascii="Arial" w:hAnsi="Arial" w:cs="Arial"/>
          <w:b/>
          <w:sz w:val="20"/>
          <w:szCs w:val="20"/>
          <w:lang w:val="en-US"/>
        </w:rPr>
        <w:t xml:space="preserve">mpower &amp; encourage, </w:t>
      </w:r>
      <w:r w:rsidRPr="004C0869">
        <w:rPr>
          <w:rFonts w:ascii="Arial" w:hAnsi="Arial" w:cs="Arial"/>
          <w:b/>
          <w:lang w:val="en-US"/>
        </w:rPr>
        <w:t>R</w:t>
      </w:r>
      <w:r>
        <w:rPr>
          <w:rFonts w:ascii="Arial" w:hAnsi="Arial" w:cs="Arial"/>
          <w:b/>
          <w:sz w:val="20"/>
          <w:szCs w:val="20"/>
          <w:lang w:val="en-US"/>
        </w:rPr>
        <w:t>eview &amp; reward</w:t>
      </w:r>
    </w:p>
    <w:p w:rsidR="00583A05" w:rsidRDefault="00583A05" w:rsidP="00583A05">
      <w:pPr>
        <w:shd w:val="clear" w:color="auto" w:fill="CCCCCC"/>
        <w:jc w:val="center"/>
        <w:rPr>
          <w:rFonts w:ascii="Arial" w:hAnsi="Arial" w:cs="Arial"/>
          <w:vanish/>
          <w:sz w:val="28"/>
          <w:szCs w:val="32"/>
        </w:rPr>
      </w:pPr>
      <w:proofErr w:type="gramStart"/>
      <w:r>
        <w:rPr>
          <w:rFonts w:ascii="Arial" w:hAnsi="Arial" w:cs="Arial"/>
          <w:sz w:val="28"/>
          <w:szCs w:val="32"/>
          <w:lang w:val="en-US"/>
        </w:rPr>
        <w:t>“What, when, where, how, who, evaluation.”</w:t>
      </w:r>
      <w:proofErr w:type="gramEnd"/>
      <w:r>
        <w:rPr>
          <w:rFonts w:ascii="Arial" w:hAnsi="Arial" w:cs="Arial"/>
          <w:sz w:val="28"/>
          <w:szCs w:val="32"/>
          <w:lang w:val="en-US"/>
        </w:rPr>
        <w:t xml:space="preserve"> </w:t>
      </w:r>
    </w:p>
    <w:p w:rsidR="00583A05" w:rsidRDefault="00583A05" w:rsidP="00583A05">
      <w:pPr>
        <w:shd w:val="clear" w:color="auto" w:fill="CCCCCC"/>
        <w:rPr>
          <w:rFonts w:ascii="Arial" w:hAnsi="Arial" w:cs="Arial"/>
          <w:vanish/>
          <w:sz w:val="28"/>
        </w:rPr>
      </w:pPr>
    </w:p>
    <w:p w:rsidR="00583A05" w:rsidRDefault="00583A05" w:rsidP="00583A05">
      <w:pPr>
        <w:rPr>
          <w:rFonts w:ascii="Arial" w:hAnsi="Arial" w:cs="Arial"/>
          <w:b/>
          <w:bCs/>
          <w:sz w:val="48"/>
        </w:rPr>
      </w:pPr>
    </w:p>
    <w:p w:rsidR="00583A05" w:rsidRDefault="00583A05" w:rsidP="00583A05">
      <w:pPr>
        <w:pStyle w:val="Caption"/>
        <w:rPr>
          <w:rFonts w:ascii="Arial" w:hAnsi="Arial" w:cs="Arial"/>
          <w:sz w:val="28"/>
          <w:szCs w:val="28"/>
        </w:rPr>
      </w:pPr>
    </w:p>
    <w:p w:rsidR="00583A05" w:rsidRPr="004C0869" w:rsidRDefault="00583A05" w:rsidP="00583A05">
      <w:pPr>
        <w:pStyle w:val="Caption"/>
        <w:rPr>
          <w:rFonts w:ascii="Arial" w:hAnsi="Arial" w:cs="Arial"/>
          <w:sz w:val="28"/>
          <w:szCs w:val="28"/>
        </w:rPr>
      </w:pPr>
      <w:r w:rsidRPr="004C0869">
        <w:rPr>
          <w:rFonts w:ascii="Arial" w:hAnsi="Arial" w:cs="Arial"/>
          <w:sz w:val="28"/>
          <w:szCs w:val="28"/>
        </w:rPr>
        <w:t>Team:</w:t>
      </w:r>
      <w:r w:rsidRPr="004C0869">
        <w:rPr>
          <w:rFonts w:ascii="Arial" w:hAnsi="Arial" w:cs="Arial"/>
          <w:sz w:val="28"/>
          <w:szCs w:val="28"/>
        </w:rPr>
        <w:tab/>
      </w:r>
      <w:r w:rsidRPr="004C0869">
        <w:rPr>
          <w:rFonts w:ascii="Arial" w:hAnsi="Arial" w:cs="Arial"/>
          <w:sz w:val="28"/>
          <w:szCs w:val="28"/>
        </w:rPr>
        <w:tab/>
      </w:r>
      <w:r w:rsidRPr="004C0869">
        <w:rPr>
          <w:rFonts w:ascii="Arial" w:hAnsi="Arial" w:cs="Arial"/>
          <w:sz w:val="28"/>
          <w:szCs w:val="28"/>
        </w:rPr>
        <w:tab/>
      </w:r>
    </w:p>
    <w:p w:rsidR="00583A05" w:rsidRPr="004C0869" w:rsidRDefault="00583A05" w:rsidP="00583A05">
      <w:pPr>
        <w:pStyle w:val="Caption"/>
        <w:rPr>
          <w:rFonts w:ascii="Arial" w:hAnsi="Arial" w:cs="Arial"/>
          <w:sz w:val="28"/>
          <w:szCs w:val="28"/>
        </w:rPr>
      </w:pPr>
      <w:r w:rsidRPr="004C0869">
        <w:rPr>
          <w:rFonts w:ascii="Arial" w:hAnsi="Arial" w:cs="Arial"/>
          <w:sz w:val="28"/>
          <w:szCs w:val="28"/>
          <w:lang w:val="en-US"/>
        </w:rPr>
        <w:t>Strategic Purpose:</w:t>
      </w:r>
      <w:r>
        <w:rPr>
          <w:rFonts w:ascii="Arial" w:hAnsi="Arial" w:cs="Arial"/>
          <w:sz w:val="28"/>
          <w:szCs w:val="28"/>
          <w:lang w:val="en-US"/>
        </w:rPr>
        <w:t xml:space="preserve"> Moreton Region Youth Alliance </w:t>
      </w:r>
    </w:p>
    <w:p w:rsidR="00583A05" w:rsidRDefault="00583A05" w:rsidP="00583A05">
      <w:pPr>
        <w:rPr>
          <w:rFonts w:ascii="Arial" w:hAnsi="Arial" w:cs="Arial"/>
          <w:b/>
          <w:bCs/>
          <w:lang w:val="en-US"/>
        </w:rPr>
      </w:pPr>
    </w:p>
    <w:p w:rsidR="00583A05" w:rsidRDefault="00583A05" w:rsidP="00583A05">
      <w:pPr>
        <w:rPr>
          <w:rFonts w:ascii="Arial" w:hAnsi="Arial" w:cs="Arial"/>
          <w:b/>
          <w:bCs/>
          <w:lang w:val="en-US"/>
        </w:rPr>
      </w:pPr>
      <w:r>
        <w:rPr>
          <w:rFonts w:ascii="Arial" w:hAnsi="Arial" w:cs="Arial"/>
          <w:b/>
          <w:bCs/>
          <w:lang w:val="en-US"/>
        </w:rPr>
        <w:t>Date: 7</w:t>
      </w:r>
      <w:r w:rsidRPr="005F2315">
        <w:rPr>
          <w:rFonts w:ascii="Arial" w:hAnsi="Arial" w:cs="Arial"/>
          <w:b/>
          <w:bCs/>
          <w:vertAlign w:val="superscript"/>
          <w:lang w:val="en-US"/>
        </w:rPr>
        <w:t>th</w:t>
      </w:r>
      <w:r>
        <w:rPr>
          <w:rFonts w:ascii="Arial" w:hAnsi="Arial" w:cs="Arial"/>
          <w:b/>
          <w:bCs/>
          <w:lang w:val="en-US"/>
        </w:rPr>
        <w:t xml:space="preserve"> Sept 2011</w:t>
      </w:r>
    </w:p>
    <w:tbl>
      <w:tblPr>
        <w:tblpPr w:leftFromText="180" w:rightFromText="180" w:vertAnchor="text" w:horzAnchor="margin" w:tblpXSpec="center" w:tblpY="10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3119"/>
        <w:gridCol w:w="3495"/>
        <w:gridCol w:w="1324"/>
        <w:gridCol w:w="1559"/>
      </w:tblGrid>
      <w:tr w:rsidR="00583A05" w:rsidTr="00E410D8">
        <w:tc>
          <w:tcPr>
            <w:tcW w:w="4219" w:type="dxa"/>
          </w:tcPr>
          <w:p w:rsidR="00583A05" w:rsidRPr="00106222" w:rsidRDefault="00583A05" w:rsidP="00E410D8">
            <w:pPr>
              <w:pStyle w:val="Header"/>
              <w:tabs>
                <w:tab w:val="clear" w:pos="4320"/>
                <w:tab w:val="clear" w:pos="8640"/>
              </w:tabs>
              <w:jc w:val="center"/>
              <w:rPr>
                <w:rFonts w:ascii="Arial" w:hAnsi="Arial" w:cs="Arial"/>
                <w:b/>
                <w:lang w:val="en-US"/>
              </w:rPr>
            </w:pPr>
            <w:r>
              <w:rPr>
                <w:rFonts w:ascii="Arial" w:hAnsi="Arial" w:cs="Arial"/>
                <w:b/>
                <w:lang w:val="en-US"/>
              </w:rPr>
              <w:t xml:space="preserve">Key Result Area/ </w:t>
            </w:r>
            <w:r w:rsidRPr="00106222">
              <w:rPr>
                <w:rFonts w:ascii="Arial" w:hAnsi="Arial" w:cs="Arial"/>
                <w:b/>
                <w:lang w:val="en-US"/>
              </w:rPr>
              <w:t>Goals</w:t>
            </w:r>
          </w:p>
          <w:p w:rsidR="00583A05" w:rsidRPr="00164DE6" w:rsidRDefault="00583A05" w:rsidP="00E410D8">
            <w:pPr>
              <w:jc w:val="center"/>
              <w:rPr>
                <w:rFonts w:ascii="Arial" w:hAnsi="Arial" w:cs="Arial"/>
                <w:b/>
                <w:sz w:val="20"/>
                <w:szCs w:val="20"/>
                <w:lang w:val="en-US"/>
              </w:rPr>
            </w:pPr>
          </w:p>
        </w:tc>
        <w:tc>
          <w:tcPr>
            <w:tcW w:w="3119" w:type="dxa"/>
          </w:tcPr>
          <w:p w:rsidR="00583A05" w:rsidRPr="00106222" w:rsidRDefault="00583A05" w:rsidP="00E410D8">
            <w:pPr>
              <w:jc w:val="center"/>
              <w:rPr>
                <w:rFonts w:ascii="Arial" w:hAnsi="Arial" w:cs="Arial"/>
                <w:b/>
                <w:lang w:val="en-US"/>
              </w:rPr>
            </w:pPr>
            <w:r>
              <w:rPr>
                <w:rFonts w:ascii="Arial" w:hAnsi="Arial" w:cs="Arial"/>
                <w:b/>
                <w:lang w:val="en-US"/>
              </w:rPr>
              <w:t xml:space="preserve">Key </w:t>
            </w:r>
            <w:r w:rsidRPr="00106222">
              <w:rPr>
                <w:rFonts w:ascii="Arial" w:hAnsi="Arial" w:cs="Arial"/>
                <w:b/>
                <w:lang w:val="en-US"/>
              </w:rPr>
              <w:t>Performance Indicators</w:t>
            </w:r>
          </w:p>
          <w:p w:rsidR="00583A05" w:rsidRPr="00106222" w:rsidRDefault="00583A05" w:rsidP="00E410D8">
            <w:pPr>
              <w:jc w:val="center"/>
              <w:rPr>
                <w:rFonts w:ascii="Arial" w:hAnsi="Arial" w:cs="Arial"/>
                <w:b/>
                <w:lang w:val="en-US"/>
              </w:rPr>
            </w:pPr>
            <w:r w:rsidRPr="00106222">
              <w:rPr>
                <w:rFonts w:ascii="Arial" w:hAnsi="Arial" w:cs="Arial"/>
                <w:b/>
                <w:lang w:val="en-US"/>
              </w:rPr>
              <w:t>Quality, Quantity, Measurable</w:t>
            </w:r>
          </w:p>
        </w:tc>
        <w:tc>
          <w:tcPr>
            <w:tcW w:w="3495" w:type="dxa"/>
          </w:tcPr>
          <w:p w:rsidR="00583A05" w:rsidRPr="00106222" w:rsidRDefault="00583A05" w:rsidP="00E410D8">
            <w:pPr>
              <w:jc w:val="center"/>
              <w:rPr>
                <w:rFonts w:ascii="Arial" w:hAnsi="Arial" w:cs="Arial"/>
                <w:b/>
                <w:lang w:val="en-US"/>
              </w:rPr>
            </w:pPr>
            <w:r w:rsidRPr="00106222">
              <w:rPr>
                <w:rFonts w:ascii="Arial" w:hAnsi="Arial" w:cs="Arial"/>
                <w:b/>
                <w:lang w:val="en-US"/>
              </w:rPr>
              <w:t>Strategies / Action</w:t>
            </w:r>
          </w:p>
        </w:tc>
        <w:tc>
          <w:tcPr>
            <w:tcW w:w="1324" w:type="dxa"/>
          </w:tcPr>
          <w:p w:rsidR="00583A05" w:rsidRPr="00106222" w:rsidRDefault="00583A05" w:rsidP="00E410D8">
            <w:pPr>
              <w:jc w:val="center"/>
              <w:rPr>
                <w:rFonts w:ascii="Arial" w:hAnsi="Arial" w:cs="Arial"/>
                <w:b/>
                <w:lang w:val="en-US"/>
              </w:rPr>
            </w:pPr>
            <w:r w:rsidRPr="00106222">
              <w:rPr>
                <w:rFonts w:ascii="Arial" w:hAnsi="Arial" w:cs="Arial"/>
                <w:b/>
                <w:lang w:val="en-US"/>
              </w:rPr>
              <w:t>When By</w:t>
            </w:r>
          </w:p>
          <w:p w:rsidR="00583A05" w:rsidRPr="00106222" w:rsidRDefault="00583A05" w:rsidP="00E410D8">
            <w:pPr>
              <w:jc w:val="center"/>
              <w:rPr>
                <w:rFonts w:ascii="Arial" w:hAnsi="Arial" w:cs="Arial"/>
                <w:b/>
                <w:lang w:val="en-US"/>
              </w:rPr>
            </w:pPr>
            <w:r w:rsidRPr="00106222">
              <w:rPr>
                <w:rFonts w:ascii="Arial" w:hAnsi="Arial" w:cs="Arial"/>
                <w:b/>
                <w:lang w:val="en-US"/>
              </w:rPr>
              <w:t>Specifics</w:t>
            </w:r>
          </w:p>
        </w:tc>
        <w:tc>
          <w:tcPr>
            <w:tcW w:w="1559" w:type="dxa"/>
          </w:tcPr>
          <w:p w:rsidR="00583A05" w:rsidRPr="00106222" w:rsidRDefault="00583A05" w:rsidP="00E410D8">
            <w:pPr>
              <w:rPr>
                <w:rFonts w:ascii="Arial" w:hAnsi="Arial" w:cs="Arial"/>
                <w:b/>
                <w:lang w:val="en-US"/>
              </w:rPr>
            </w:pPr>
            <w:r w:rsidRPr="00106222">
              <w:rPr>
                <w:rFonts w:ascii="Arial" w:hAnsi="Arial" w:cs="Arial"/>
                <w:b/>
                <w:lang w:val="en-US"/>
              </w:rPr>
              <w:t>By Whom</w:t>
            </w:r>
          </w:p>
          <w:p w:rsidR="00583A05" w:rsidRPr="00106222" w:rsidRDefault="00583A05" w:rsidP="00E410D8">
            <w:pPr>
              <w:rPr>
                <w:rFonts w:ascii="Arial" w:hAnsi="Arial" w:cs="Arial"/>
                <w:b/>
                <w:lang w:val="en-US"/>
              </w:rPr>
            </w:pPr>
            <w:r w:rsidRPr="00106222">
              <w:rPr>
                <w:rFonts w:ascii="Arial" w:hAnsi="Arial" w:cs="Arial"/>
                <w:b/>
                <w:lang w:val="en-US"/>
              </w:rPr>
              <w:t>Specifics</w:t>
            </w:r>
          </w:p>
        </w:tc>
      </w:tr>
      <w:tr w:rsidR="00583A05" w:rsidTr="00E410D8">
        <w:trPr>
          <w:trHeight w:val="2684"/>
        </w:trPr>
        <w:tc>
          <w:tcPr>
            <w:tcW w:w="4219" w:type="dxa"/>
          </w:tcPr>
          <w:p w:rsidR="00583A05" w:rsidRPr="00583A05" w:rsidRDefault="00583A05" w:rsidP="00583A05">
            <w:pPr>
              <w:rPr>
                <w:rFonts w:ascii="Arial" w:hAnsi="Arial" w:cs="Arial"/>
                <w:lang w:val="en-US"/>
              </w:rPr>
            </w:pPr>
            <w:r w:rsidRPr="00583A05">
              <w:rPr>
                <w:rFonts w:ascii="Arial" w:hAnsi="Arial" w:cs="Arial"/>
                <w:lang w:val="en-US"/>
              </w:rPr>
              <w:t>1.1</w:t>
            </w:r>
            <w:r>
              <w:rPr>
                <w:rFonts w:ascii="Arial" w:hAnsi="Arial" w:cs="Arial"/>
                <w:lang w:val="en-US"/>
              </w:rPr>
              <w:t xml:space="preserve"> To create a </w:t>
            </w:r>
            <w:r w:rsidR="00C14B0E">
              <w:rPr>
                <w:rFonts w:ascii="Arial" w:hAnsi="Arial" w:cs="Arial"/>
                <w:lang w:val="en-US"/>
              </w:rPr>
              <w:t>strategic regional partnership comprising key players in business, industry, education and community to identify issues across the region and assist in the creation of partnerships to address the issues for youth 15-25.</w:t>
            </w:r>
          </w:p>
        </w:tc>
        <w:tc>
          <w:tcPr>
            <w:tcW w:w="3119" w:type="dxa"/>
          </w:tcPr>
          <w:p w:rsidR="00583A05" w:rsidRPr="00155BFC" w:rsidRDefault="00C14B0E" w:rsidP="00E410D8">
            <w:pPr>
              <w:pStyle w:val="ListParagraph"/>
              <w:numPr>
                <w:ilvl w:val="1"/>
                <w:numId w:val="2"/>
              </w:numPr>
              <w:rPr>
                <w:rFonts w:ascii="Arial" w:hAnsi="Arial" w:cs="Arial"/>
                <w:lang w:val="en-US"/>
              </w:rPr>
            </w:pPr>
            <w:r>
              <w:rPr>
                <w:rFonts w:ascii="Arial" w:hAnsi="Arial" w:cs="Arial"/>
                <w:lang w:val="en-US"/>
              </w:rPr>
              <w:t>Engagement of key connectors across the Moreton region and their attendance at the regional forums.</w:t>
            </w:r>
          </w:p>
        </w:tc>
        <w:tc>
          <w:tcPr>
            <w:tcW w:w="3495" w:type="dxa"/>
          </w:tcPr>
          <w:p w:rsidR="00583A05" w:rsidRDefault="00C14B0E" w:rsidP="00E410D8">
            <w:pPr>
              <w:rPr>
                <w:rFonts w:ascii="Arial" w:hAnsi="Arial" w:cs="Arial"/>
                <w:lang w:val="en-US"/>
              </w:rPr>
            </w:pPr>
            <w:r>
              <w:rPr>
                <w:rFonts w:ascii="Arial" w:hAnsi="Arial" w:cs="Arial"/>
                <w:lang w:val="en-US"/>
              </w:rPr>
              <w:t>1.1 invite and engage these key connectors to a series of meetings that identify issues facing youth within the region</w:t>
            </w:r>
          </w:p>
        </w:tc>
        <w:tc>
          <w:tcPr>
            <w:tcW w:w="1324" w:type="dxa"/>
          </w:tcPr>
          <w:p w:rsidR="00583A05" w:rsidRDefault="00C14B0E" w:rsidP="00E410D8">
            <w:pPr>
              <w:rPr>
                <w:rFonts w:ascii="Arial" w:hAnsi="Arial" w:cs="Arial"/>
                <w:lang w:val="en-US"/>
              </w:rPr>
            </w:pPr>
            <w:r>
              <w:rPr>
                <w:rFonts w:ascii="Arial" w:hAnsi="Arial" w:cs="Arial"/>
                <w:lang w:val="en-US"/>
              </w:rPr>
              <w:t>End of 2011</w:t>
            </w:r>
          </w:p>
        </w:tc>
        <w:tc>
          <w:tcPr>
            <w:tcW w:w="1559" w:type="dxa"/>
          </w:tcPr>
          <w:p w:rsidR="00583A05" w:rsidRDefault="00C14B0E" w:rsidP="00E410D8">
            <w:pPr>
              <w:rPr>
                <w:rFonts w:ascii="Arial" w:hAnsi="Arial" w:cs="Arial"/>
                <w:lang w:val="en-US"/>
              </w:rPr>
            </w:pPr>
            <w:r>
              <w:rPr>
                <w:rFonts w:ascii="Arial" w:hAnsi="Arial" w:cs="Arial"/>
                <w:lang w:val="en-US"/>
              </w:rPr>
              <w:t>TM and PB team</w:t>
            </w:r>
          </w:p>
        </w:tc>
      </w:tr>
      <w:tr w:rsidR="00583A05" w:rsidTr="00E410D8">
        <w:trPr>
          <w:trHeight w:val="560"/>
        </w:trPr>
        <w:tc>
          <w:tcPr>
            <w:tcW w:w="4219" w:type="dxa"/>
          </w:tcPr>
          <w:p w:rsidR="00583A05" w:rsidRDefault="00C14B0E" w:rsidP="00E410D8">
            <w:pPr>
              <w:rPr>
                <w:rFonts w:ascii="Arial" w:hAnsi="Arial" w:cs="Arial"/>
                <w:lang w:val="en-US"/>
              </w:rPr>
            </w:pPr>
            <w:r>
              <w:rPr>
                <w:rFonts w:ascii="Arial" w:hAnsi="Arial" w:cs="Arial"/>
                <w:lang w:val="en-US"/>
              </w:rPr>
              <w:t xml:space="preserve">1.2 To engage the connectors at a series of Key Advisory Group (KAG) meetings whose working agenda is derived for the initial </w:t>
            </w:r>
            <w:proofErr w:type="gramStart"/>
            <w:r>
              <w:rPr>
                <w:rFonts w:ascii="Arial" w:hAnsi="Arial" w:cs="Arial"/>
                <w:lang w:val="en-US"/>
              </w:rPr>
              <w:t>forum.</w:t>
            </w:r>
            <w:proofErr w:type="gramEnd"/>
          </w:p>
        </w:tc>
        <w:tc>
          <w:tcPr>
            <w:tcW w:w="3119" w:type="dxa"/>
          </w:tcPr>
          <w:p w:rsidR="00583A05" w:rsidRDefault="00C14B0E" w:rsidP="00E410D8">
            <w:pPr>
              <w:rPr>
                <w:rFonts w:ascii="Arial" w:hAnsi="Arial" w:cs="Arial"/>
                <w:lang w:val="en-US"/>
              </w:rPr>
            </w:pPr>
            <w:r>
              <w:rPr>
                <w:rFonts w:ascii="Arial" w:hAnsi="Arial" w:cs="Arial"/>
                <w:lang w:val="en-US"/>
              </w:rPr>
              <w:t xml:space="preserve">1.2 Successful engagement and retention of a strong cohort of connectors </w:t>
            </w:r>
          </w:p>
        </w:tc>
        <w:tc>
          <w:tcPr>
            <w:tcW w:w="3495" w:type="dxa"/>
          </w:tcPr>
          <w:p w:rsidR="00583A05" w:rsidRDefault="00C14B0E" w:rsidP="00E410D8">
            <w:pPr>
              <w:rPr>
                <w:rFonts w:ascii="Arial" w:hAnsi="Arial" w:cs="Arial"/>
                <w:lang w:val="en-US"/>
              </w:rPr>
            </w:pPr>
            <w:r>
              <w:rPr>
                <w:rFonts w:ascii="Arial" w:hAnsi="Arial" w:cs="Arial"/>
                <w:lang w:val="en-US"/>
              </w:rPr>
              <w:t>1.2 Structure KAG meetings around the MRYA agenda and introduce potential partners who can assist in the provision of a solution to the issue, in conjunction with others</w:t>
            </w:r>
          </w:p>
        </w:tc>
        <w:tc>
          <w:tcPr>
            <w:tcW w:w="1324" w:type="dxa"/>
          </w:tcPr>
          <w:p w:rsidR="00583A05" w:rsidRDefault="00C14B0E" w:rsidP="00E410D8">
            <w:pPr>
              <w:rPr>
                <w:rFonts w:ascii="Arial" w:hAnsi="Arial" w:cs="Arial"/>
                <w:lang w:val="en-US"/>
              </w:rPr>
            </w:pPr>
            <w:r>
              <w:rPr>
                <w:rFonts w:ascii="Arial" w:hAnsi="Arial" w:cs="Arial"/>
                <w:lang w:val="en-US"/>
              </w:rPr>
              <w:t>End of 2011</w:t>
            </w:r>
          </w:p>
        </w:tc>
        <w:tc>
          <w:tcPr>
            <w:tcW w:w="1559" w:type="dxa"/>
          </w:tcPr>
          <w:p w:rsidR="00583A05" w:rsidRDefault="00C14B0E" w:rsidP="00E410D8">
            <w:pPr>
              <w:rPr>
                <w:rFonts w:ascii="Arial" w:hAnsi="Arial" w:cs="Arial"/>
                <w:lang w:val="en-US"/>
              </w:rPr>
            </w:pPr>
            <w:r>
              <w:rPr>
                <w:rFonts w:ascii="Arial" w:hAnsi="Arial" w:cs="Arial"/>
                <w:lang w:val="en-US"/>
              </w:rPr>
              <w:t>TM, AH and KAGs</w:t>
            </w:r>
          </w:p>
        </w:tc>
      </w:tr>
      <w:tr w:rsidR="00583A05" w:rsidTr="00E410D8">
        <w:trPr>
          <w:trHeight w:val="560"/>
        </w:trPr>
        <w:tc>
          <w:tcPr>
            <w:tcW w:w="4219" w:type="dxa"/>
          </w:tcPr>
          <w:p w:rsidR="00583A05" w:rsidRDefault="00D63FE5" w:rsidP="00D63FE5">
            <w:pPr>
              <w:rPr>
                <w:rFonts w:ascii="Arial" w:hAnsi="Arial" w:cs="Arial"/>
                <w:lang w:val="en-US"/>
              </w:rPr>
            </w:pPr>
            <w:r>
              <w:rPr>
                <w:rFonts w:ascii="Arial" w:hAnsi="Arial" w:cs="Arial"/>
                <w:lang w:val="en-US"/>
              </w:rPr>
              <w:lastRenderedPageBreak/>
              <w:t xml:space="preserve">2.1 To successfully lead two KAG’s as they address their agendas and create partnerships that address their respective agendas </w:t>
            </w:r>
          </w:p>
        </w:tc>
        <w:tc>
          <w:tcPr>
            <w:tcW w:w="3119" w:type="dxa"/>
          </w:tcPr>
          <w:p w:rsidR="00583A05" w:rsidRDefault="00D63FE5" w:rsidP="00E410D8">
            <w:pPr>
              <w:rPr>
                <w:rFonts w:ascii="Arial" w:hAnsi="Arial" w:cs="Arial"/>
                <w:lang w:val="en-US"/>
              </w:rPr>
            </w:pPr>
            <w:r>
              <w:rPr>
                <w:rFonts w:ascii="Arial" w:hAnsi="Arial" w:cs="Arial"/>
                <w:lang w:val="en-US"/>
              </w:rPr>
              <w:t>2.1 Establishment of a Business-Industry-Education KAG that results in the creation of partnerships involving career identification, transition and pathways to employment and further education and training</w:t>
            </w:r>
          </w:p>
          <w:p w:rsidR="00D63FE5" w:rsidRDefault="00D63FE5" w:rsidP="00E410D8">
            <w:pPr>
              <w:rPr>
                <w:rFonts w:ascii="Arial" w:hAnsi="Arial" w:cs="Arial"/>
                <w:lang w:val="en-US"/>
              </w:rPr>
            </w:pPr>
          </w:p>
          <w:p w:rsidR="00D63FE5" w:rsidRDefault="00D63FE5" w:rsidP="00E410D8">
            <w:pPr>
              <w:rPr>
                <w:rFonts w:ascii="Arial" w:hAnsi="Arial" w:cs="Arial"/>
                <w:lang w:val="en-US"/>
              </w:rPr>
            </w:pPr>
            <w:r>
              <w:rPr>
                <w:rFonts w:ascii="Arial" w:hAnsi="Arial" w:cs="Arial"/>
                <w:lang w:val="en-US"/>
              </w:rPr>
              <w:t>2.1.1 Establishment of a Senior Phase Network (SPN) that drives the MRYA curriculum agenda</w:t>
            </w:r>
          </w:p>
        </w:tc>
        <w:tc>
          <w:tcPr>
            <w:tcW w:w="3495" w:type="dxa"/>
          </w:tcPr>
          <w:p w:rsidR="00583A05" w:rsidRDefault="00D63FE5" w:rsidP="002E4FE1">
            <w:pPr>
              <w:rPr>
                <w:rFonts w:ascii="Arial" w:hAnsi="Arial" w:cs="Arial"/>
                <w:lang w:val="en-US"/>
              </w:rPr>
            </w:pPr>
            <w:r>
              <w:rPr>
                <w:rFonts w:ascii="Arial" w:hAnsi="Arial" w:cs="Arial"/>
                <w:lang w:val="en-US"/>
              </w:rPr>
              <w:t>2.1 Identify core connectors who can address the KAG and provide information and opportunity to partners across the three sectors</w:t>
            </w:r>
          </w:p>
        </w:tc>
        <w:tc>
          <w:tcPr>
            <w:tcW w:w="1324" w:type="dxa"/>
          </w:tcPr>
          <w:p w:rsidR="00583A05" w:rsidRDefault="00D63FE5" w:rsidP="00E410D8">
            <w:pPr>
              <w:rPr>
                <w:rFonts w:ascii="Arial" w:hAnsi="Arial" w:cs="Arial"/>
                <w:lang w:val="en-US"/>
              </w:rPr>
            </w:pPr>
            <w:r>
              <w:rPr>
                <w:rFonts w:ascii="Arial" w:hAnsi="Arial" w:cs="Arial"/>
                <w:lang w:val="en-US"/>
              </w:rPr>
              <w:t>Aug 30</w:t>
            </w:r>
            <w:r w:rsidRPr="00D63FE5">
              <w:rPr>
                <w:rFonts w:ascii="Arial" w:hAnsi="Arial" w:cs="Arial"/>
                <w:vertAlign w:val="superscript"/>
                <w:lang w:val="en-US"/>
              </w:rPr>
              <w:t>th</w:t>
            </w:r>
            <w:r>
              <w:rPr>
                <w:rFonts w:ascii="Arial" w:hAnsi="Arial" w:cs="Arial"/>
                <w:lang w:val="en-US"/>
              </w:rPr>
              <w:t xml:space="preserve"> </w:t>
            </w:r>
          </w:p>
        </w:tc>
        <w:tc>
          <w:tcPr>
            <w:tcW w:w="1559" w:type="dxa"/>
          </w:tcPr>
          <w:p w:rsidR="00583A05" w:rsidRDefault="00D63FE5" w:rsidP="00E410D8">
            <w:pPr>
              <w:rPr>
                <w:rFonts w:ascii="Arial" w:hAnsi="Arial" w:cs="Arial"/>
                <w:lang w:val="en-US"/>
              </w:rPr>
            </w:pPr>
            <w:r>
              <w:rPr>
                <w:rFonts w:ascii="Arial" w:hAnsi="Arial" w:cs="Arial"/>
                <w:lang w:val="en-US"/>
              </w:rPr>
              <w:t>TM</w:t>
            </w:r>
          </w:p>
        </w:tc>
      </w:tr>
      <w:tr w:rsidR="00583A05" w:rsidTr="00E410D8">
        <w:trPr>
          <w:trHeight w:val="560"/>
        </w:trPr>
        <w:tc>
          <w:tcPr>
            <w:tcW w:w="4219" w:type="dxa"/>
          </w:tcPr>
          <w:p w:rsidR="00583A05" w:rsidRDefault="00D63FE5" w:rsidP="00E410D8">
            <w:pPr>
              <w:rPr>
                <w:rFonts w:ascii="Arial" w:hAnsi="Arial" w:cs="Arial"/>
                <w:lang w:val="en-US"/>
              </w:rPr>
            </w:pPr>
            <w:r>
              <w:rPr>
                <w:rFonts w:ascii="Arial" w:hAnsi="Arial" w:cs="Arial"/>
                <w:lang w:val="en-US"/>
              </w:rPr>
              <w:t>2.2 To quantify, support and record the partnerships that are formed as a result of the strategies</w:t>
            </w:r>
          </w:p>
          <w:p w:rsidR="00583A05" w:rsidRDefault="00583A05" w:rsidP="00E410D8">
            <w:pPr>
              <w:rPr>
                <w:rFonts w:ascii="Arial" w:hAnsi="Arial" w:cs="Arial"/>
                <w:lang w:val="en-US"/>
              </w:rPr>
            </w:pPr>
          </w:p>
          <w:p w:rsidR="00583A05" w:rsidRDefault="00583A05" w:rsidP="00E410D8">
            <w:pPr>
              <w:rPr>
                <w:rFonts w:ascii="Arial" w:hAnsi="Arial" w:cs="Arial"/>
                <w:lang w:val="en-US"/>
              </w:rPr>
            </w:pPr>
          </w:p>
          <w:p w:rsidR="00583A05" w:rsidRDefault="00583A05" w:rsidP="00E410D8">
            <w:pPr>
              <w:rPr>
                <w:rFonts w:ascii="Arial" w:hAnsi="Arial" w:cs="Arial"/>
                <w:lang w:val="en-US"/>
              </w:rPr>
            </w:pPr>
          </w:p>
        </w:tc>
        <w:tc>
          <w:tcPr>
            <w:tcW w:w="3119" w:type="dxa"/>
          </w:tcPr>
          <w:p w:rsidR="00583A05" w:rsidRDefault="00D63FE5" w:rsidP="00E410D8">
            <w:pPr>
              <w:rPr>
                <w:rFonts w:ascii="Arial" w:hAnsi="Arial" w:cs="Arial"/>
                <w:lang w:val="en-US"/>
              </w:rPr>
            </w:pPr>
            <w:r>
              <w:rPr>
                <w:rFonts w:ascii="Arial" w:hAnsi="Arial" w:cs="Arial"/>
                <w:lang w:val="en-US"/>
              </w:rPr>
              <w:t>2.2 Quality and veracity of YATMIS data and KIM reporting tool</w:t>
            </w:r>
          </w:p>
        </w:tc>
        <w:tc>
          <w:tcPr>
            <w:tcW w:w="3495" w:type="dxa"/>
          </w:tcPr>
          <w:p w:rsidR="00583A05" w:rsidRDefault="002E4FE1" w:rsidP="00E410D8">
            <w:pPr>
              <w:rPr>
                <w:rFonts w:ascii="Arial" w:hAnsi="Arial" w:cs="Arial"/>
                <w:lang w:val="en-US"/>
              </w:rPr>
            </w:pPr>
            <w:r>
              <w:rPr>
                <w:rFonts w:ascii="Arial" w:hAnsi="Arial" w:cs="Arial"/>
                <w:lang w:val="en-US"/>
              </w:rPr>
              <w:t>2.2 Business-Industry KAG</w:t>
            </w:r>
          </w:p>
          <w:p w:rsidR="002E4FE1" w:rsidRDefault="002E4FE1" w:rsidP="00E410D8">
            <w:pPr>
              <w:rPr>
                <w:rFonts w:ascii="Arial" w:hAnsi="Arial" w:cs="Arial"/>
                <w:lang w:val="en-US"/>
              </w:rPr>
            </w:pPr>
            <w:r>
              <w:rPr>
                <w:rFonts w:ascii="Arial" w:hAnsi="Arial" w:cs="Arial"/>
                <w:lang w:val="en-US"/>
              </w:rPr>
              <w:t>2.2.1 Senior Phase Network KAG</w:t>
            </w:r>
          </w:p>
          <w:p w:rsidR="00583A05" w:rsidRDefault="00583A05" w:rsidP="00E410D8">
            <w:pPr>
              <w:rPr>
                <w:rFonts w:ascii="Arial" w:hAnsi="Arial" w:cs="Arial"/>
                <w:lang w:val="en-US"/>
              </w:rPr>
            </w:pPr>
          </w:p>
        </w:tc>
        <w:tc>
          <w:tcPr>
            <w:tcW w:w="1324" w:type="dxa"/>
          </w:tcPr>
          <w:p w:rsidR="00583A05" w:rsidRDefault="002E4FE1" w:rsidP="00E410D8">
            <w:pPr>
              <w:rPr>
                <w:rFonts w:ascii="Arial" w:hAnsi="Arial" w:cs="Arial"/>
                <w:lang w:val="en-US"/>
              </w:rPr>
            </w:pPr>
            <w:r>
              <w:rPr>
                <w:rFonts w:ascii="Arial" w:hAnsi="Arial" w:cs="Arial"/>
                <w:lang w:val="en-US"/>
              </w:rPr>
              <w:t>Sept 30th</w:t>
            </w:r>
          </w:p>
        </w:tc>
        <w:tc>
          <w:tcPr>
            <w:tcW w:w="1559" w:type="dxa"/>
          </w:tcPr>
          <w:p w:rsidR="00583A05" w:rsidRDefault="002E4FE1" w:rsidP="00E410D8">
            <w:pPr>
              <w:rPr>
                <w:rFonts w:ascii="Arial" w:hAnsi="Arial" w:cs="Arial"/>
                <w:lang w:val="en-US"/>
              </w:rPr>
            </w:pPr>
            <w:r>
              <w:rPr>
                <w:rFonts w:ascii="Arial" w:hAnsi="Arial" w:cs="Arial"/>
                <w:lang w:val="en-US"/>
              </w:rPr>
              <w:t>TM</w:t>
            </w:r>
          </w:p>
        </w:tc>
      </w:tr>
      <w:tr w:rsidR="00583A05" w:rsidTr="00E410D8">
        <w:trPr>
          <w:trHeight w:val="560"/>
        </w:trPr>
        <w:tc>
          <w:tcPr>
            <w:tcW w:w="4219" w:type="dxa"/>
          </w:tcPr>
          <w:p w:rsidR="00583A05" w:rsidRDefault="002E4FE1" w:rsidP="00E410D8">
            <w:pPr>
              <w:rPr>
                <w:rFonts w:ascii="Arial" w:hAnsi="Arial" w:cs="Arial"/>
                <w:lang w:val="en-US"/>
              </w:rPr>
            </w:pPr>
            <w:r>
              <w:rPr>
                <w:rFonts w:ascii="Arial" w:hAnsi="Arial" w:cs="Arial"/>
                <w:lang w:val="en-US"/>
              </w:rPr>
              <w:t>2.3 To review the MRYA partnership’s performance at a whole of partner meeting</w:t>
            </w:r>
          </w:p>
          <w:p w:rsidR="00583A05" w:rsidRDefault="00583A05" w:rsidP="00E410D8">
            <w:pPr>
              <w:rPr>
                <w:rFonts w:ascii="Arial" w:hAnsi="Arial" w:cs="Arial"/>
                <w:lang w:val="en-US"/>
              </w:rPr>
            </w:pPr>
          </w:p>
          <w:p w:rsidR="00583A05" w:rsidRDefault="00583A05" w:rsidP="00E410D8">
            <w:pPr>
              <w:rPr>
                <w:rFonts w:ascii="Arial" w:hAnsi="Arial" w:cs="Arial"/>
                <w:lang w:val="en-US"/>
              </w:rPr>
            </w:pPr>
          </w:p>
          <w:p w:rsidR="00583A05" w:rsidRDefault="00583A05" w:rsidP="00E410D8">
            <w:pPr>
              <w:rPr>
                <w:rFonts w:ascii="Arial" w:hAnsi="Arial" w:cs="Arial"/>
                <w:lang w:val="en-US"/>
              </w:rPr>
            </w:pPr>
          </w:p>
        </w:tc>
        <w:tc>
          <w:tcPr>
            <w:tcW w:w="3119" w:type="dxa"/>
          </w:tcPr>
          <w:p w:rsidR="00583A05" w:rsidRDefault="002E4FE1" w:rsidP="00E410D8">
            <w:pPr>
              <w:rPr>
                <w:rFonts w:ascii="Arial" w:hAnsi="Arial" w:cs="Arial"/>
                <w:lang w:val="en-US"/>
              </w:rPr>
            </w:pPr>
            <w:r>
              <w:rPr>
                <w:rFonts w:ascii="Arial" w:hAnsi="Arial" w:cs="Arial"/>
                <w:lang w:val="en-US"/>
              </w:rPr>
              <w:t xml:space="preserve">2.3 Positive feedback and ongoing commitment of partners as a result of partner commitment to the goals of the MRYA </w:t>
            </w:r>
          </w:p>
        </w:tc>
        <w:tc>
          <w:tcPr>
            <w:tcW w:w="3495" w:type="dxa"/>
          </w:tcPr>
          <w:p w:rsidR="00583A05" w:rsidRDefault="002E4FE1" w:rsidP="00E410D8">
            <w:pPr>
              <w:rPr>
                <w:rFonts w:ascii="Arial" w:hAnsi="Arial" w:cs="Arial"/>
                <w:lang w:val="en-US"/>
              </w:rPr>
            </w:pPr>
            <w:r>
              <w:rPr>
                <w:rFonts w:ascii="Arial" w:hAnsi="Arial" w:cs="Arial"/>
                <w:lang w:val="en-US"/>
              </w:rPr>
              <w:t>2.3 Produce a successful series of forums and create a valid review document</w:t>
            </w:r>
          </w:p>
        </w:tc>
        <w:tc>
          <w:tcPr>
            <w:tcW w:w="1324" w:type="dxa"/>
          </w:tcPr>
          <w:p w:rsidR="00583A05" w:rsidRDefault="00583A05" w:rsidP="00E410D8">
            <w:pPr>
              <w:rPr>
                <w:rFonts w:ascii="Arial" w:hAnsi="Arial" w:cs="Arial"/>
                <w:lang w:val="en-US"/>
              </w:rPr>
            </w:pPr>
          </w:p>
        </w:tc>
        <w:tc>
          <w:tcPr>
            <w:tcW w:w="1559" w:type="dxa"/>
          </w:tcPr>
          <w:p w:rsidR="00583A05" w:rsidRDefault="002E4FE1" w:rsidP="00E410D8">
            <w:pPr>
              <w:rPr>
                <w:rFonts w:ascii="Arial" w:hAnsi="Arial" w:cs="Arial"/>
                <w:lang w:val="en-US"/>
              </w:rPr>
            </w:pPr>
            <w:r>
              <w:rPr>
                <w:rFonts w:ascii="Arial" w:hAnsi="Arial" w:cs="Arial"/>
                <w:lang w:val="en-US"/>
              </w:rPr>
              <w:t>TM and PB team</w:t>
            </w:r>
          </w:p>
        </w:tc>
      </w:tr>
      <w:tr w:rsidR="00583A05" w:rsidTr="00E410D8">
        <w:trPr>
          <w:trHeight w:val="560"/>
        </w:trPr>
        <w:tc>
          <w:tcPr>
            <w:tcW w:w="4219" w:type="dxa"/>
          </w:tcPr>
          <w:p w:rsidR="00583A05" w:rsidRDefault="00583A05" w:rsidP="00E410D8">
            <w:pPr>
              <w:rPr>
                <w:rFonts w:ascii="Arial" w:hAnsi="Arial" w:cs="Arial"/>
                <w:lang w:val="en-US"/>
              </w:rPr>
            </w:pPr>
          </w:p>
          <w:p w:rsidR="00583A05" w:rsidRDefault="00583A05" w:rsidP="00E410D8">
            <w:pPr>
              <w:rPr>
                <w:rFonts w:ascii="Arial" w:hAnsi="Arial" w:cs="Arial"/>
                <w:lang w:val="en-US"/>
              </w:rPr>
            </w:pPr>
          </w:p>
          <w:p w:rsidR="00583A05" w:rsidRDefault="00583A05" w:rsidP="00E410D8">
            <w:pPr>
              <w:rPr>
                <w:rFonts w:ascii="Arial" w:hAnsi="Arial" w:cs="Arial"/>
                <w:lang w:val="en-US"/>
              </w:rPr>
            </w:pPr>
          </w:p>
        </w:tc>
        <w:tc>
          <w:tcPr>
            <w:tcW w:w="3119" w:type="dxa"/>
          </w:tcPr>
          <w:p w:rsidR="00583A05" w:rsidRDefault="00583A05" w:rsidP="00E410D8">
            <w:pPr>
              <w:rPr>
                <w:rFonts w:ascii="Arial" w:hAnsi="Arial" w:cs="Arial"/>
                <w:lang w:val="en-US"/>
              </w:rPr>
            </w:pPr>
          </w:p>
        </w:tc>
        <w:tc>
          <w:tcPr>
            <w:tcW w:w="3495" w:type="dxa"/>
          </w:tcPr>
          <w:p w:rsidR="00583A05" w:rsidRDefault="00583A05" w:rsidP="00E410D8">
            <w:pPr>
              <w:rPr>
                <w:rFonts w:ascii="Arial" w:hAnsi="Arial" w:cs="Arial"/>
                <w:lang w:val="en-US"/>
              </w:rPr>
            </w:pPr>
          </w:p>
        </w:tc>
        <w:tc>
          <w:tcPr>
            <w:tcW w:w="1324" w:type="dxa"/>
          </w:tcPr>
          <w:p w:rsidR="00583A05" w:rsidRDefault="00583A05" w:rsidP="00E410D8">
            <w:pPr>
              <w:rPr>
                <w:rFonts w:ascii="Arial" w:hAnsi="Arial" w:cs="Arial"/>
                <w:lang w:val="en-US"/>
              </w:rPr>
            </w:pPr>
          </w:p>
        </w:tc>
        <w:tc>
          <w:tcPr>
            <w:tcW w:w="1559" w:type="dxa"/>
          </w:tcPr>
          <w:p w:rsidR="00583A05" w:rsidRDefault="00583A05" w:rsidP="00E410D8">
            <w:pPr>
              <w:rPr>
                <w:rFonts w:ascii="Arial" w:hAnsi="Arial" w:cs="Arial"/>
                <w:lang w:val="en-US"/>
              </w:rPr>
            </w:pPr>
          </w:p>
        </w:tc>
      </w:tr>
    </w:tbl>
    <w:p w:rsidR="00583A05" w:rsidRPr="004C0869" w:rsidRDefault="00583A05" w:rsidP="00583A05">
      <w:pPr>
        <w:rPr>
          <w:rFonts w:ascii="Arial" w:hAnsi="Arial" w:cs="Arial"/>
          <w:b/>
          <w:bCs/>
          <w:lang w:val="en-US"/>
        </w:rPr>
      </w:pPr>
      <w:r>
        <w:rPr>
          <w:rFonts w:ascii="Arial" w:hAnsi="Arial" w:cs="Arial"/>
          <w:b/>
          <w:bCs/>
          <w:lang w:val="en-US"/>
        </w:rPr>
        <w:t>Review Date:</w:t>
      </w:r>
    </w:p>
    <w:p w:rsidR="00210D12" w:rsidRDefault="00210D12"/>
    <w:sectPr w:rsidR="00210D12" w:rsidSect="00583A0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72F"/>
    <w:multiLevelType w:val="multilevel"/>
    <w:tmpl w:val="A04E6A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9A2739"/>
    <w:multiLevelType w:val="multilevel"/>
    <w:tmpl w:val="D4EE3F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3A05"/>
    <w:rsid w:val="00210D12"/>
    <w:rsid w:val="002B7404"/>
    <w:rsid w:val="002E4FE1"/>
    <w:rsid w:val="00583A05"/>
    <w:rsid w:val="00C14B0E"/>
    <w:rsid w:val="00C411F6"/>
    <w:rsid w:val="00D63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0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A05"/>
    <w:pPr>
      <w:tabs>
        <w:tab w:val="center" w:pos="4320"/>
        <w:tab w:val="right" w:pos="8640"/>
      </w:tabs>
    </w:pPr>
  </w:style>
  <w:style w:type="character" w:customStyle="1" w:styleId="HeaderChar">
    <w:name w:val="Header Char"/>
    <w:basedOn w:val="DefaultParagraphFont"/>
    <w:link w:val="Header"/>
    <w:rsid w:val="00583A05"/>
    <w:rPr>
      <w:rFonts w:ascii="Times New Roman" w:eastAsia="Times New Roman" w:hAnsi="Times New Roman" w:cs="Times New Roman"/>
      <w:sz w:val="24"/>
      <w:szCs w:val="24"/>
      <w:lang w:val="en-GB" w:eastAsia="en-GB"/>
    </w:rPr>
  </w:style>
  <w:style w:type="paragraph" w:styleId="Caption">
    <w:name w:val="caption"/>
    <w:basedOn w:val="Normal"/>
    <w:next w:val="Normal"/>
    <w:qFormat/>
    <w:rsid w:val="00583A05"/>
    <w:rPr>
      <w:b/>
      <w:bCs/>
      <w:sz w:val="32"/>
      <w:lang w:eastAsia="en-US"/>
    </w:rPr>
  </w:style>
  <w:style w:type="paragraph" w:styleId="BodyText2">
    <w:name w:val="Body Text 2"/>
    <w:basedOn w:val="Normal"/>
    <w:link w:val="BodyText2Char"/>
    <w:rsid w:val="00583A05"/>
    <w:rPr>
      <w:rFonts w:ascii="Arial" w:hAnsi="Arial" w:cs="Arial"/>
      <w:color w:val="000000"/>
      <w:sz w:val="48"/>
      <w:szCs w:val="36"/>
      <w:lang w:val="en-US"/>
    </w:rPr>
  </w:style>
  <w:style w:type="character" w:customStyle="1" w:styleId="BodyText2Char">
    <w:name w:val="Body Text 2 Char"/>
    <w:basedOn w:val="DefaultParagraphFont"/>
    <w:link w:val="BodyText2"/>
    <w:rsid w:val="00583A05"/>
    <w:rPr>
      <w:rFonts w:ascii="Arial" w:eastAsia="Times New Roman" w:hAnsi="Arial" w:cs="Arial"/>
      <w:color w:val="000000"/>
      <w:sz w:val="48"/>
      <w:szCs w:val="36"/>
      <w:lang w:eastAsia="en-GB"/>
    </w:rPr>
  </w:style>
  <w:style w:type="paragraph" w:styleId="ListParagraph">
    <w:name w:val="List Paragraph"/>
    <w:basedOn w:val="Normal"/>
    <w:uiPriority w:val="34"/>
    <w:qFormat/>
    <w:rsid w:val="00583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2011-09-08T01:12:00Z</dcterms:created>
  <dcterms:modified xsi:type="dcterms:W3CDTF">2011-09-08T02:32:00Z</dcterms:modified>
</cp:coreProperties>
</file>