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21" w:rsidRPr="00585621" w:rsidRDefault="00585621" w:rsidP="00585621">
      <w:pPr>
        <w:tabs>
          <w:tab w:val="left" w:pos="720"/>
        </w:tabs>
        <w:autoSpaceDE w:val="0"/>
        <w:autoSpaceDN w:val="0"/>
        <w:adjustRightInd w:val="0"/>
        <w:spacing w:before="1" w:after="95"/>
        <w:ind w:left="72" w:right="18"/>
        <w:jc w:val="both"/>
        <w:rPr>
          <w:rFonts w:ascii="Arial" w:hAnsi="Arial" w:cs="Arial"/>
          <w:bCs/>
          <w:sz w:val="24"/>
          <w:szCs w:val="24"/>
        </w:rPr>
      </w:pPr>
      <w:r w:rsidRPr="00585621">
        <w:rPr>
          <w:rFonts w:ascii="Arial" w:hAnsi="Arial" w:cs="Arial"/>
          <w:bCs/>
          <w:sz w:val="24"/>
          <w:szCs w:val="24"/>
        </w:rPr>
        <w:t>La suprema felicidad social es una visión a largo plazo que tiene como punto de partida una estructura social incluyente, creando un modelo humanista, productivo, socialista, endógeno, donde todos vivamos en similares condiciones a que el ilustre pensador socialista el libertador denomino” La Suprema felicidad social</w:t>
      </w:r>
      <w:r>
        <w:rPr>
          <w:rFonts w:ascii="Arial" w:hAnsi="Arial" w:cs="Arial"/>
          <w:bCs/>
          <w:sz w:val="24"/>
          <w:szCs w:val="24"/>
        </w:rPr>
        <w:t>.</w:t>
      </w:r>
    </w:p>
    <w:p w:rsidR="006643F9" w:rsidRPr="00585621" w:rsidRDefault="006643F9" w:rsidP="00585621"/>
    <w:sectPr w:rsidR="006643F9" w:rsidRPr="00585621" w:rsidSect="001A73C9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5621"/>
    <w:rsid w:val="00585621"/>
    <w:rsid w:val="006643F9"/>
    <w:rsid w:val="00813EC4"/>
    <w:rsid w:val="00F1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272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Gibreiska</dc:creator>
  <cp:keywords/>
  <dc:description/>
  <cp:lastModifiedBy>Gibreiska</cp:lastModifiedBy>
  <cp:revision>3</cp:revision>
  <dcterms:created xsi:type="dcterms:W3CDTF">2012-07-10T00:52:00Z</dcterms:created>
  <dcterms:modified xsi:type="dcterms:W3CDTF">2012-07-10T00:53:00Z</dcterms:modified>
</cp:coreProperties>
</file>