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50" w:rsidRDefault="00DF563D">
      <w:pPr>
        <w:rPr>
          <w:b/>
          <w:color w:val="C00000"/>
          <w:sz w:val="48"/>
        </w:rPr>
      </w:pPr>
      <w:r>
        <w:rPr>
          <w:b/>
          <w:color w:val="C00000"/>
          <w:sz w:val="48"/>
        </w:rPr>
        <w:t xml:space="preserve">             </w:t>
      </w:r>
      <w:r w:rsidRPr="00DF563D">
        <w:rPr>
          <w:b/>
          <w:color w:val="C00000"/>
          <w:sz w:val="48"/>
        </w:rPr>
        <w:t>Configuracion del monitor</w:t>
      </w:r>
      <w:r>
        <w:rPr>
          <w:b/>
          <w:color w:val="C00000"/>
          <w:sz w:val="48"/>
        </w:rPr>
        <w:t xml:space="preserve"> </w:t>
      </w:r>
    </w:p>
    <w:p w:rsidR="00DF563D" w:rsidRPr="00DF563D" w:rsidRDefault="00DF563D" w:rsidP="00DF563D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es-MX"/>
        </w:rPr>
      </w:pPr>
      <w:r w:rsidRPr="00DF563D"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  <w:t>Para instalar el monitor, asegúrese de apagar el monitor, el equipo o cualquier otro dispositivo que esté conectado, luego siga los pasos que se describen a continuación:</w:t>
      </w:r>
    </w:p>
    <w:p w:rsidR="00DF563D" w:rsidRPr="00DF563D" w:rsidRDefault="00DF563D" w:rsidP="00DF563D">
      <w:pPr>
        <w:numPr>
          <w:ilvl w:val="0"/>
          <w:numId w:val="1"/>
        </w:numPr>
        <w:shd w:val="clear" w:color="auto" w:fill="FFFFFF"/>
        <w:spacing w:before="240" w:after="240" w:line="408" w:lineRule="atLeast"/>
        <w:ind w:left="210"/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</w:pPr>
      <w:r w:rsidRPr="00DF563D"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  <w:t>Coloque el monitor próximo a su computadora en un lugar conveniente y con buena ventilación.</w:t>
      </w:r>
    </w:p>
    <w:p w:rsidR="00DF563D" w:rsidRPr="00DF563D" w:rsidRDefault="00DF563D" w:rsidP="00DF563D">
      <w:pPr>
        <w:numPr>
          <w:ilvl w:val="0"/>
          <w:numId w:val="1"/>
        </w:numPr>
        <w:shd w:val="clear" w:color="auto" w:fill="FFFFFF"/>
        <w:spacing w:before="240" w:after="240" w:line="408" w:lineRule="atLeast"/>
        <w:ind w:left="210"/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</w:pPr>
      <w:r w:rsidRPr="00DF563D"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  <w:t>Conecte un extremo del cable de señal del monitor en el conector de vídeo que se encuentra en la parte trasera del equipo y el otro extremo del cable en la parte posterior del monitor.</w:t>
      </w:r>
    </w:p>
    <w:tbl>
      <w:tblPr>
        <w:tblW w:w="7950" w:type="dxa"/>
        <w:tblCellSpacing w:w="7" w:type="dxa"/>
        <w:tblInd w:w="210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63"/>
        <w:gridCol w:w="4313"/>
      </w:tblGrid>
      <w:tr w:rsidR="00DF563D" w:rsidRPr="00DF563D" w:rsidTr="00DF563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F563D" w:rsidRPr="00DF563D" w:rsidRDefault="00DF563D" w:rsidP="00DF563D">
            <w:pPr>
              <w:spacing w:line="240" w:lineRule="auto"/>
              <w:divId w:val="841117004"/>
              <w:rPr>
                <w:rFonts w:ascii="Times New Roman" w:eastAsia="Times New Roman" w:hAnsi="Times New Roman" w:cs="Times New Roman"/>
                <w:sz w:val="40"/>
                <w:szCs w:val="24"/>
                <w:lang w:eastAsia="es-MX"/>
              </w:rPr>
            </w:pPr>
            <w:r w:rsidRPr="00DF563D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es-MX"/>
              </w:rPr>
              <w:t>Figura1: Conexión del cable de señal VGA</w:t>
            </w:r>
          </w:p>
          <w:p w:rsidR="00DF563D" w:rsidRPr="00DF563D" w:rsidRDefault="00DF563D" w:rsidP="00D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es-MX"/>
              </w:rPr>
            </w:pPr>
            <w:r w:rsidRPr="00DF563D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es-MX"/>
              </w:rPr>
              <w:drawing>
                <wp:inline distT="0" distB="0" distL="0" distR="0">
                  <wp:extent cx="3248025" cy="2676525"/>
                  <wp:effectExtent l="19050" t="0" r="9525" b="0"/>
                  <wp:docPr id="1" name="Imagen 1" descr="http://h10025.www1.hp.com/ewfrf-JAVA/Doc/images/213/c002819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10025.www1.hp.com/ewfrf-JAVA/Doc/images/213/c002819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F563D" w:rsidRPr="00DF563D" w:rsidRDefault="00DF563D" w:rsidP="00DF563D">
            <w:pPr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es-MX"/>
              </w:rPr>
            </w:pPr>
            <w:r w:rsidRPr="00DF563D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es-MX"/>
              </w:rPr>
              <w:t>figura 2: Conexión del cable de señal DVI-D</w:t>
            </w:r>
          </w:p>
          <w:p w:rsidR="00DF563D" w:rsidRPr="00DF563D" w:rsidRDefault="00DF563D" w:rsidP="00D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es-MX"/>
              </w:rPr>
            </w:pPr>
            <w:r w:rsidRPr="00DF563D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es-MX"/>
              </w:rPr>
              <w:drawing>
                <wp:inline distT="0" distB="0" distL="0" distR="0">
                  <wp:extent cx="3143250" cy="2752725"/>
                  <wp:effectExtent l="19050" t="0" r="0" b="0"/>
                  <wp:docPr id="2" name="Imagen 2" descr="http://h10025.www1.hp.com/ewfrf-JAVA/Doc/images/340/c002819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10025.www1.hp.com/ewfrf-JAVA/Doc/images/340/c002819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63D" w:rsidRPr="00DF563D" w:rsidRDefault="00DF563D" w:rsidP="00DF563D">
      <w:pPr>
        <w:numPr>
          <w:ilvl w:val="0"/>
          <w:numId w:val="1"/>
        </w:numPr>
        <w:shd w:val="clear" w:color="auto" w:fill="FFFFFF"/>
        <w:spacing w:before="240" w:after="240" w:line="408" w:lineRule="atLeast"/>
        <w:ind w:left="210"/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</w:pPr>
      <w:r w:rsidRPr="00DF563D">
        <w:rPr>
          <w:rFonts w:ascii="Arial" w:eastAsia="Times New Roman" w:hAnsi="Arial" w:cs="Arial"/>
          <w:b/>
          <w:bCs/>
          <w:caps/>
          <w:color w:val="0066FF"/>
          <w:spacing w:val="5"/>
          <w:sz w:val="28"/>
          <w:szCs w:val="18"/>
          <w:lang w:eastAsia="es-MX"/>
        </w:rPr>
        <w:t>NOTA:</w:t>
      </w:r>
      <w:r w:rsidRPr="00DF563D"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  <w:t xml:space="preserve"> El cable DVI-D que viene con los monitores se utiliza sólo para conexión digital-a-digital. Su equipo debe tener instalada una tarjeta gráfica que sea compatible con DVI para poder utilizar este cable.</w:t>
      </w:r>
    </w:p>
    <w:p w:rsidR="00DF563D" w:rsidRPr="00DF563D" w:rsidRDefault="00DF563D" w:rsidP="00DF563D">
      <w:pPr>
        <w:numPr>
          <w:ilvl w:val="0"/>
          <w:numId w:val="1"/>
        </w:numPr>
        <w:shd w:val="clear" w:color="auto" w:fill="FFFFFF"/>
        <w:spacing w:before="240" w:after="240" w:line="408" w:lineRule="atLeast"/>
        <w:ind w:left="210"/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</w:pPr>
      <w:r w:rsidRPr="00DF563D"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  <w:lastRenderedPageBreak/>
        <w:t>Conecte un extremo del cable de alimentación a la parte trasera del monitor y el otro extremo a un tomacorriente.</w:t>
      </w:r>
    </w:p>
    <w:p w:rsidR="00DF563D" w:rsidRPr="00DF563D" w:rsidRDefault="00DF563D" w:rsidP="00DF563D">
      <w:pPr>
        <w:shd w:val="clear" w:color="auto" w:fill="FFFFFF"/>
        <w:spacing w:before="240" w:after="240" w:line="408" w:lineRule="atLeast"/>
        <w:ind w:left="210"/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</w:pPr>
      <w:r w:rsidRPr="00DF563D">
        <w:rPr>
          <w:rFonts w:ascii="Arial" w:eastAsia="Times New Roman" w:hAnsi="Arial" w:cs="Arial"/>
          <w:noProof/>
          <w:color w:val="111111"/>
          <w:spacing w:val="5"/>
          <w:sz w:val="28"/>
          <w:szCs w:val="18"/>
          <w:lang w:eastAsia="es-MX"/>
        </w:rPr>
        <w:drawing>
          <wp:inline distT="0" distB="0" distL="0" distR="0">
            <wp:extent cx="1962150" cy="3067050"/>
            <wp:effectExtent l="19050" t="0" r="0" b="0"/>
            <wp:docPr id="3" name="Imagen 3" descr="http://h10025.www1.hp.com/ewfrf-JAVA/Doc/images/467/c002819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10025.www1.hp.com/ewfrf-JAVA/Doc/images/467/c002819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3D" w:rsidRPr="00DF563D" w:rsidRDefault="00DF563D" w:rsidP="00DF563D">
      <w:pPr>
        <w:numPr>
          <w:ilvl w:val="0"/>
          <w:numId w:val="1"/>
        </w:numPr>
        <w:shd w:val="clear" w:color="auto" w:fill="FFFFFF"/>
        <w:spacing w:before="240" w:after="240" w:line="408" w:lineRule="atLeast"/>
        <w:ind w:left="210"/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</w:pPr>
      <w:r w:rsidRPr="00DF563D">
        <w:rPr>
          <w:rFonts w:ascii="Arial" w:eastAsia="Times New Roman" w:hAnsi="Arial" w:cs="Arial"/>
          <w:color w:val="111111"/>
          <w:spacing w:val="5"/>
          <w:sz w:val="28"/>
          <w:szCs w:val="18"/>
          <w:lang w:eastAsia="es-MX"/>
        </w:rPr>
        <w:t>Ajuste el monitor según sea necesario para su comodidad utilizando los recursos de ajuste de inclinación, rotación y altura del monitor.</w:t>
      </w:r>
    </w:p>
    <w:tbl>
      <w:tblPr>
        <w:tblW w:w="7950" w:type="dxa"/>
        <w:tblCellSpacing w:w="7" w:type="dxa"/>
        <w:tblInd w:w="210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53"/>
        <w:gridCol w:w="3547"/>
        <w:gridCol w:w="2886"/>
      </w:tblGrid>
      <w:tr w:rsidR="00DF563D" w:rsidRPr="00DF563D" w:rsidTr="00DF563D">
        <w:trPr>
          <w:tblCellSpacing w:w="7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999999"/>
              <w:bottom w:val="single" w:sz="6" w:space="0" w:color="CCCCCC"/>
              <w:right w:val="single" w:sz="6" w:space="0" w:color="999999"/>
            </w:tcBorders>
            <w:shd w:val="clear" w:color="auto" w:fill="E7E7E7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F563D" w:rsidRPr="00DF563D" w:rsidRDefault="00DF563D" w:rsidP="00DF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DF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Ajustes</w:t>
            </w:r>
          </w:p>
        </w:tc>
      </w:tr>
      <w:tr w:rsidR="00DF563D" w:rsidRPr="00DF563D" w:rsidTr="00DF563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F563D" w:rsidRPr="00DF563D" w:rsidRDefault="00DF563D" w:rsidP="00D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809750" cy="2552700"/>
                  <wp:effectExtent l="19050" t="0" r="0" b="0"/>
                  <wp:docPr id="4" name="Imagen 4" descr="http://h10025.www1.hp.com/ewfrf-JAVA/Doc/images/594/c002819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10025.www1.hp.com/ewfrf-JAVA/Doc/images/594/c002819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F563D" w:rsidRPr="00DF563D" w:rsidRDefault="00DF563D" w:rsidP="00D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2600325" cy="2428875"/>
                  <wp:effectExtent l="19050" t="0" r="9525" b="0"/>
                  <wp:docPr id="5" name="Imagen 5" descr="http://h10025.www1.hp.com/ewfrf-JAVA/Doc/images/721/c002819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10025.www1.hp.com/ewfrf-JAVA/Doc/images/721/c002819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F563D" w:rsidRPr="00DF563D" w:rsidRDefault="00DF563D" w:rsidP="00D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2095500" cy="2600325"/>
                  <wp:effectExtent l="19050" t="0" r="0" b="0"/>
                  <wp:docPr id="6" name="Imagen 6" descr="http://h10025.www1.hp.com/ewfrf-JAVA/Doc/images/848/c002819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10025.www1.hp.com/ewfrf-JAVA/Doc/images/848/c002819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63D" w:rsidRPr="00DF563D" w:rsidRDefault="00DF563D" w:rsidP="00DF563D">
      <w:pPr>
        <w:rPr>
          <w:b/>
          <w:color w:val="C00000"/>
          <w:sz w:val="48"/>
        </w:rPr>
      </w:pPr>
      <w:r>
        <w:rPr>
          <w:b/>
          <w:color w:val="C00000"/>
          <w:sz w:val="48"/>
        </w:rPr>
        <w:lastRenderedPageBreak/>
        <w:t xml:space="preserve"> </w:t>
      </w:r>
      <w:r w:rsidRPr="00DF563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9525" cy="95250"/>
            <wp:effectExtent l="0" t="0" r="0" b="0"/>
            <wp:docPr id="9" name="Imagen 13" descr="http://www.learnthenet.tv/spanish/gif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earnthenet.tv/spanish/gifs/spacer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3D" w:rsidRDefault="00DF563D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  <w:r w:rsidRPr="00DF563D">
        <w:rPr>
          <w:rFonts w:ascii="Arial" w:eastAsia="Times New Roman" w:hAnsi="Arial" w:cs="Arial"/>
          <w:noProof/>
          <w:color w:val="111111"/>
          <w:sz w:val="28"/>
          <w:szCs w:val="18"/>
          <w:shd w:val="clear" w:color="auto" w:fill="FFFFFF"/>
          <w:lang w:eastAsia="es-MX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33400"/>
            <wp:effectExtent l="19050" t="0" r="0" b="0"/>
            <wp:wrapSquare wrapText="bothSides"/>
            <wp:docPr id="10" name="Imagen 3" descr="http://www.learnthenet.tv/spanish/gifs/compu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arnthenet.tv/spanish/gifs/compute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63D"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  <w:t>Es posible que ya se haya dado cuenta de que su monitor puede ser configurado con diferentes resoluciones de pantalla y para mostrar diferentes números de colores. Para una visualización óptima de las páginas web, le recomendamos que utilice una configuración de monitor de al menos 800 X 600 píxeles y con miles de colores. Aquí le indicamos cómo hacerlo.</w:t>
      </w:r>
      <w: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  <w:t xml:space="preserve"> </w:t>
      </w:r>
    </w:p>
    <w:p w:rsidR="00DF563D" w:rsidRDefault="00DF563D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Pr="005151BA" w:rsidRDefault="005151BA" w:rsidP="00DF563D">
      <w:pPr>
        <w:rPr>
          <w:rFonts w:ascii="Arial" w:eastAsia="Times New Roman" w:hAnsi="Arial" w:cs="Arial"/>
          <w:color w:val="1F497D" w:themeColor="text2"/>
          <w:sz w:val="36"/>
          <w:szCs w:val="18"/>
          <w:shd w:val="clear" w:color="auto" w:fill="FFFFFF"/>
          <w:lang w:eastAsia="es-MX"/>
        </w:rPr>
      </w:pPr>
      <w:r w:rsidRPr="005151BA">
        <w:rPr>
          <w:rFonts w:ascii="Arial" w:eastAsia="Times New Roman" w:hAnsi="Arial" w:cs="Arial"/>
          <w:color w:val="1F497D" w:themeColor="text2"/>
          <w:sz w:val="36"/>
          <w:szCs w:val="18"/>
          <w:shd w:val="clear" w:color="auto" w:fill="FFFFFF"/>
          <w:lang w:eastAsia="es-MX"/>
        </w:rPr>
        <w:t xml:space="preserve">Imágenes: </w:t>
      </w: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E176B5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  <w:r>
        <w:rPr>
          <w:rFonts w:ascii="Arial" w:eastAsia="Times New Roman" w:hAnsi="Arial" w:cs="Arial"/>
          <w:noProof/>
          <w:color w:val="111111"/>
          <w:sz w:val="28"/>
          <w:szCs w:val="18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309880</wp:posOffset>
            </wp:positionV>
            <wp:extent cx="2428875" cy="2428875"/>
            <wp:effectExtent l="19050" t="0" r="9525" b="0"/>
            <wp:wrapTight wrapText="bothSides">
              <wp:wrapPolygon edited="0">
                <wp:start x="-169" y="0"/>
                <wp:lineTo x="-169" y="21515"/>
                <wp:lineTo x="21685" y="21515"/>
                <wp:lineTo x="21685" y="0"/>
                <wp:lineTo x="-169" y="0"/>
              </wp:wrapPolygon>
            </wp:wrapTight>
            <wp:docPr id="11" name="Imagen 4" descr="http://t3.gstatic.com/images?q=tbn:ANd9GcTuHOVmtlvSzHUyesru8OALDWpqKJZQCZ5HC2Fvqoo4EAA062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uHOVmtlvSzHUyesru8OALDWpqKJZQCZ5HC2Fvqoo4EAA062b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111111"/>
          <w:sz w:val="28"/>
          <w:szCs w:val="18"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156845</wp:posOffset>
            </wp:positionV>
            <wp:extent cx="2352675" cy="2181225"/>
            <wp:effectExtent l="19050" t="0" r="9525" b="0"/>
            <wp:wrapTight wrapText="bothSides">
              <wp:wrapPolygon edited="0">
                <wp:start x="-175" y="0"/>
                <wp:lineTo x="-175" y="21506"/>
                <wp:lineTo x="21687" y="21506"/>
                <wp:lineTo x="21687" y="0"/>
                <wp:lineTo x="-175" y="0"/>
              </wp:wrapPolygon>
            </wp:wrapTight>
            <wp:docPr id="7" name="Imagen 1" descr="http://t3.gstatic.com/images?q=tbn:ANd9GcQk4vSRlQY_KTxKKer7mB34YJ9Dt8JelKd4vHoQ14KCuNKKd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k4vSRlQY_KTxKKer7mB34YJ9Dt8JelKd4vHoQ14KCuNKKdAC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color w:val="111111"/>
          <w:sz w:val="28"/>
          <w:szCs w:val="18"/>
          <w:shd w:val="clear" w:color="auto" w:fill="FFFFFF"/>
          <w:lang w:eastAsia="es-MX"/>
        </w:rPr>
      </w:pPr>
    </w:p>
    <w:p w:rsidR="005151BA" w:rsidRDefault="005151BA" w:rsidP="00DF563D">
      <w:pPr>
        <w:rPr>
          <w:rFonts w:ascii="Arial" w:eastAsia="Times New Roman" w:hAnsi="Arial" w:cs="Arial"/>
          <w:b/>
          <w:color w:val="1F497D" w:themeColor="text2"/>
          <w:sz w:val="36"/>
          <w:szCs w:val="18"/>
          <w:shd w:val="clear" w:color="auto" w:fill="FFFFFF"/>
          <w:lang w:eastAsia="es-MX"/>
        </w:rPr>
      </w:pPr>
    </w:p>
    <w:sectPr w:rsidR="005151BA" w:rsidSect="00DF563D">
      <w:pgSz w:w="12240" w:h="15840"/>
      <w:pgMar w:top="1417" w:right="1701" w:bottom="1417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EA" w:rsidRDefault="00BD5FEA" w:rsidP="00E176B5">
      <w:pPr>
        <w:spacing w:after="0" w:line="240" w:lineRule="auto"/>
      </w:pPr>
      <w:r>
        <w:separator/>
      </w:r>
    </w:p>
  </w:endnote>
  <w:endnote w:type="continuationSeparator" w:id="0">
    <w:p w:rsidR="00BD5FEA" w:rsidRDefault="00BD5FEA" w:rsidP="00E1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EA" w:rsidRDefault="00BD5FEA" w:rsidP="00E176B5">
      <w:pPr>
        <w:spacing w:after="0" w:line="240" w:lineRule="auto"/>
      </w:pPr>
      <w:r>
        <w:separator/>
      </w:r>
    </w:p>
  </w:footnote>
  <w:footnote w:type="continuationSeparator" w:id="0">
    <w:p w:rsidR="00BD5FEA" w:rsidRDefault="00BD5FEA" w:rsidP="00E17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90E07"/>
    <w:multiLevelType w:val="multilevel"/>
    <w:tmpl w:val="B6A2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63D"/>
    <w:rsid w:val="004B0E50"/>
    <w:rsid w:val="005151BA"/>
    <w:rsid w:val="00775962"/>
    <w:rsid w:val="00BD5FEA"/>
    <w:rsid w:val="00DF563D"/>
    <w:rsid w:val="00E176B5"/>
    <w:rsid w:val="00E4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F563D"/>
    <w:rPr>
      <w:b/>
      <w:bCs/>
    </w:rPr>
  </w:style>
  <w:style w:type="character" w:customStyle="1" w:styleId="themebody">
    <w:name w:val="themebody"/>
    <w:basedOn w:val="Fuentedeprrafopredeter"/>
    <w:rsid w:val="00DF563D"/>
  </w:style>
  <w:style w:type="paragraph" w:styleId="Textodeglobo">
    <w:name w:val="Balloon Text"/>
    <w:basedOn w:val="Normal"/>
    <w:link w:val="TextodegloboCar"/>
    <w:uiPriority w:val="99"/>
    <w:semiHidden/>
    <w:unhideWhenUsed/>
    <w:rsid w:val="00D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E17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76B5"/>
  </w:style>
  <w:style w:type="paragraph" w:styleId="Piedepgina">
    <w:name w:val="footer"/>
    <w:basedOn w:val="Normal"/>
    <w:link w:val="PiedepginaCar"/>
    <w:uiPriority w:val="99"/>
    <w:semiHidden/>
    <w:unhideWhenUsed/>
    <w:rsid w:val="00E17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7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69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3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1221</Characters>
  <Application>Microsoft Office Word</Application>
  <DocSecurity>0</DocSecurity>
  <Lines>10</Lines>
  <Paragraphs>2</Paragraphs>
  <ScaleCrop>false</ScaleCrop>
  <Company>Toshiba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</dc:creator>
  <cp:keywords/>
  <dc:description/>
  <cp:lastModifiedBy>Castro</cp:lastModifiedBy>
  <cp:revision>6</cp:revision>
  <dcterms:created xsi:type="dcterms:W3CDTF">2013-02-08T18:03:00Z</dcterms:created>
  <dcterms:modified xsi:type="dcterms:W3CDTF">2013-03-04T18:26:00Z</dcterms:modified>
</cp:coreProperties>
</file>