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92" w:type="dxa"/>
        <w:tblLook w:val="04A0" w:firstRow="1" w:lastRow="0" w:firstColumn="1" w:lastColumn="0" w:noHBand="0" w:noVBand="1"/>
      </w:tblPr>
      <w:tblGrid>
        <w:gridCol w:w="1092"/>
        <w:gridCol w:w="1993"/>
        <w:gridCol w:w="3071"/>
        <w:gridCol w:w="4536"/>
      </w:tblGrid>
      <w:tr w:rsidR="000A5D86" w:rsidTr="005F1E6B">
        <w:tc>
          <w:tcPr>
            <w:tcW w:w="1092" w:type="dxa"/>
          </w:tcPr>
          <w:p w:rsidR="000A5D86" w:rsidRDefault="000A5D86">
            <w:r>
              <w:t xml:space="preserve">TYPES OF COLLOID </w:t>
            </w:r>
          </w:p>
        </w:tc>
        <w:tc>
          <w:tcPr>
            <w:tcW w:w="1993" w:type="dxa"/>
          </w:tcPr>
          <w:p w:rsidR="000A5D86" w:rsidRDefault="000A5D86">
            <w:r>
              <w:t xml:space="preserve">EXAMPLES </w:t>
            </w:r>
          </w:p>
        </w:tc>
        <w:tc>
          <w:tcPr>
            <w:tcW w:w="3071" w:type="dxa"/>
          </w:tcPr>
          <w:p w:rsidR="000A5D86" w:rsidRDefault="000A5D86">
            <w:r>
              <w:t>INDICATIONS</w:t>
            </w:r>
          </w:p>
        </w:tc>
        <w:tc>
          <w:tcPr>
            <w:tcW w:w="4536" w:type="dxa"/>
          </w:tcPr>
          <w:p w:rsidR="000A5D86" w:rsidRDefault="000A5D86">
            <w:r>
              <w:t>CONSIDERATIONS</w:t>
            </w:r>
          </w:p>
        </w:tc>
      </w:tr>
      <w:tr w:rsidR="000F64D3" w:rsidTr="005F1E6B">
        <w:tc>
          <w:tcPr>
            <w:tcW w:w="1092" w:type="dxa"/>
            <w:vMerge w:val="restart"/>
          </w:tcPr>
          <w:p w:rsidR="000F64D3" w:rsidRDefault="000F64D3">
            <w:r>
              <w:t>Natural</w:t>
            </w:r>
          </w:p>
        </w:tc>
        <w:tc>
          <w:tcPr>
            <w:tcW w:w="1993" w:type="dxa"/>
          </w:tcPr>
          <w:p w:rsidR="000F64D3" w:rsidRDefault="000F64D3" w:rsidP="00B9475A">
            <w:pPr>
              <w:pStyle w:val="NoSpacing"/>
            </w:pPr>
            <w:r w:rsidRPr="0084297B">
              <w:t xml:space="preserve">Whole blood </w:t>
            </w:r>
          </w:p>
        </w:tc>
        <w:tc>
          <w:tcPr>
            <w:tcW w:w="3071" w:type="dxa"/>
          </w:tcPr>
          <w:p w:rsidR="000F64D3" w:rsidRDefault="000F64D3" w:rsidP="00B9475A">
            <w:pPr>
              <w:pStyle w:val="ListParagraph"/>
              <w:numPr>
                <w:ilvl w:val="0"/>
                <w:numId w:val="1"/>
              </w:numPr>
            </w:pPr>
            <w:r>
              <w:t>Anaemic</w:t>
            </w:r>
          </w:p>
          <w:p w:rsidR="000F64D3" w:rsidRDefault="000F64D3" w:rsidP="00B9475A">
            <w:pPr>
              <w:pStyle w:val="ListParagraph"/>
              <w:numPr>
                <w:ilvl w:val="0"/>
                <w:numId w:val="1"/>
              </w:numPr>
            </w:pPr>
            <w:r>
              <w:t xml:space="preserve">Hypercoagulable disorder </w:t>
            </w:r>
          </w:p>
          <w:p w:rsidR="000F64D3" w:rsidRDefault="000F64D3" w:rsidP="00B9475A">
            <w:pPr>
              <w:pStyle w:val="ListParagraph"/>
              <w:numPr>
                <w:ilvl w:val="0"/>
                <w:numId w:val="1"/>
              </w:numPr>
            </w:pPr>
            <w:r>
              <w:t>PCV &lt; 20</w:t>
            </w:r>
          </w:p>
          <w:p w:rsidR="000F64D3" w:rsidRDefault="000F64D3" w:rsidP="00B9475A">
            <w:pPr>
              <w:pStyle w:val="ListParagraph"/>
              <w:numPr>
                <w:ilvl w:val="0"/>
                <w:numId w:val="1"/>
              </w:numPr>
            </w:pPr>
            <w:r>
              <w:t>Albumin &lt; 25</w:t>
            </w:r>
          </w:p>
          <w:p w:rsidR="000F64D3" w:rsidRDefault="000F64D3" w:rsidP="00B9475A">
            <w:pPr>
              <w:pStyle w:val="ListParagraph"/>
              <w:numPr>
                <w:ilvl w:val="0"/>
                <w:numId w:val="1"/>
              </w:numPr>
            </w:pPr>
            <w:r>
              <w:t>Total protein &lt; 35</w:t>
            </w:r>
          </w:p>
        </w:tc>
        <w:tc>
          <w:tcPr>
            <w:tcW w:w="4536" w:type="dxa"/>
          </w:tcPr>
          <w:p w:rsidR="000F64D3" w:rsidRDefault="000F64D3">
            <w:r>
              <w:t>Amount of blood to be used = 2 ml/kg (for 1 % increase in PCV) at 20 ml/kg/hr, initial dose 0.1 ml/kg/ 5 – 10 mins</w:t>
            </w:r>
          </w:p>
          <w:p w:rsidR="0082441B" w:rsidRDefault="0082441B"/>
          <w:p w:rsidR="002225FE" w:rsidRDefault="000F64D3">
            <w:r>
              <w:t xml:space="preserve">Blood has a short shelf life hence require anticoagulants </w:t>
            </w:r>
          </w:p>
          <w:p w:rsidR="002225FE" w:rsidRDefault="002225FE"/>
          <w:p w:rsidR="002225FE" w:rsidRDefault="002225FE">
            <w:r>
              <w:t xml:space="preserve">Anticoagulants include 4% sodium citrate given at 50 ml per 400 ml of blood or Heparin at 2 units per ml of whole blood </w:t>
            </w:r>
          </w:p>
          <w:p w:rsidR="0082441B" w:rsidRDefault="0082441B"/>
          <w:p w:rsidR="000F64D3" w:rsidRDefault="000F64D3">
            <w:r>
              <w:t xml:space="preserve">Use with cautions and monitor for anaphylactic reactions and scientific infection  </w:t>
            </w:r>
          </w:p>
        </w:tc>
      </w:tr>
      <w:tr w:rsidR="000F64D3" w:rsidTr="005F1E6B">
        <w:tc>
          <w:tcPr>
            <w:tcW w:w="1092" w:type="dxa"/>
            <w:vMerge/>
          </w:tcPr>
          <w:p w:rsidR="000F64D3" w:rsidRDefault="000F64D3"/>
        </w:tc>
        <w:tc>
          <w:tcPr>
            <w:tcW w:w="1993" w:type="dxa"/>
          </w:tcPr>
          <w:p w:rsidR="000F64D3" w:rsidRPr="0084297B" w:rsidRDefault="000F64D3" w:rsidP="00B9475A">
            <w:pPr>
              <w:pStyle w:val="NoSpacing"/>
            </w:pPr>
            <w:r w:rsidRPr="0084297B">
              <w:t xml:space="preserve">Plasma </w:t>
            </w:r>
          </w:p>
        </w:tc>
        <w:tc>
          <w:tcPr>
            <w:tcW w:w="3071" w:type="dxa"/>
          </w:tcPr>
          <w:p w:rsidR="000F64D3" w:rsidRDefault="000F64D3" w:rsidP="00B9475A">
            <w:pPr>
              <w:pStyle w:val="ListParagraph"/>
              <w:numPr>
                <w:ilvl w:val="0"/>
                <w:numId w:val="2"/>
              </w:numPr>
            </w:pPr>
            <w:r>
              <w:t>Anaemic</w:t>
            </w:r>
          </w:p>
          <w:p w:rsidR="000F64D3" w:rsidRDefault="000F64D3" w:rsidP="00B9475A">
            <w:pPr>
              <w:pStyle w:val="ListParagraph"/>
              <w:numPr>
                <w:ilvl w:val="0"/>
                <w:numId w:val="2"/>
              </w:numPr>
            </w:pPr>
            <w:r>
              <w:t xml:space="preserve">Hypercoagulable disorder </w:t>
            </w:r>
          </w:p>
          <w:p w:rsidR="000F64D3" w:rsidRDefault="000F64D3" w:rsidP="00B9475A">
            <w:pPr>
              <w:pStyle w:val="ListParagraph"/>
              <w:numPr>
                <w:ilvl w:val="0"/>
                <w:numId w:val="2"/>
              </w:numPr>
            </w:pPr>
            <w:r>
              <w:t>Transfer of anti-immunoglobins use to treat failure of passive transfer in calves &lt; 2 days old (can also use whole blood)</w:t>
            </w:r>
          </w:p>
          <w:p w:rsidR="00061320" w:rsidRDefault="00061320" w:rsidP="00B9475A">
            <w:pPr>
              <w:pStyle w:val="ListParagraph"/>
              <w:numPr>
                <w:ilvl w:val="0"/>
                <w:numId w:val="2"/>
              </w:numPr>
            </w:pPr>
            <w:r>
              <w:t>Acute management of burns</w:t>
            </w:r>
          </w:p>
          <w:p w:rsidR="00061320" w:rsidRDefault="00061320" w:rsidP="00B9475A">
            <w:pPr>
              <w:pStyle w:val="ListParagraph"/>
              <w:numPr>
                <w:ilvl w:val="0"/>
                <w:numId w:val="2"/>
              </w:numPr>
            </w:pPr>
            <w:r>
              <w:t xml:space="preserve">Emergency treatment of shock specially due to loss of plasma </w:t>
            </w:r>
          </w:p>
          <w:p w:rsidR="00061320" w:rsidRDefault="00061320" w:rsidP="00B9475A">
            <w:pPr>
              <w:pStyle w:val="ListParagraph"/>
              <w:numPr>
                <w:ilvl w:val="0"/>
                <w:numId w:val="2"/>
              </w:numPr>
            </w:pPr>
            <w:r>
              <w:t xml:space="preserve">Fluid resuscitation in intensive care </w:t>
            </w:r>
          </w:p>
        </w:tc>
        <w:tc>
          <w:tcPr>
            <w:tcW w:w="4536" w:type="dxa"/>
          </w:tcPr>
          <w:p w:rsidR="0082441B" w:rsidRDefault="0082441B">
            <w:r>
              <w:t xml:space="preserve">5 ml/kg/hr for first 15 mins and then double rate if no anaphylaxis is observed </w:t>
            </w:r>
          </w:p>
          <w:p w:rsidR="0082441B" w:rsidRDefault="0082441B"/>
          <w:p w:rsidR="000F64D3" w:rsidRDefault="000F64D3">
            <w:r>
              <w:t xml:space="preserve">Use with cautions and monitor for anaphylactic reactions and scientific infection  </w:t>
            </w:r>
          </w:p>
        </w:tc>
      </w:tr>
      <w:tr w:rsidR="00197F45" w:rsidTr="003C77CD">
        <w:trPr>
          <w:trHeight w:val="4307"/>
        </w:trPr>
        <w:tc>
          <w:tcPr>
            <w:tcW w:w="1092" w:type="dxa"/>
            <w:vMerge w:val="restart"/>
          </w:tcPr>
          <w:p w:rsidR="00197F45" w:rsidRDefault="00197F45">
            <w:r>
              <w:t>Synthet</w:t>
            </w:r>
            <w:bookmarkStart w:id="0" w:name="_GoBack"/>
            <w:bookmarkEnd w:id="0"/>
            <w:r>
              <w:t xml:space="preserve">ic </w:t>
            </w:r>
          </w:p>
        </w:tc>
        <w:tc>
          <w:tcPr>
            <w:tcW w:w="1993" w:type="dxa"/>
          </w:tcPr>
          <w:p w:rsidR="00197F45" w:rsidRPr="0084297B" w:rsidRDefault="00197F45" w:rsidP="001C5EDA">
            <w:pPr>
              <w:pStyle w:val="NoSpacing"/>
              <w:tabs>
                <w:tab w:val="left" w:pos="1920"/>
              </w:tabs>
            </w:pPr>
            <w:r>
              <w:t>Hydroxyethyl starch (HES))</w:t>
            </w:r>
          </w:p>
          <w:p w:rsidR="00197F45" w:rsidRPr="00715AC4" w:rsidRDefault="00197F45" w:rsidP="00715AC4">
            <w:pPr>
              <w:pStyle w:val="NoSpacing"/>
            </w:pPr>
          </w:p>
        </w:tc>
        <w:tc>
          <w:tcPr>
            <w:tcW w:w="3071" w:type="dxa"/>
          </w:tcPr>
          <w:p w:rsidR="00197F45" w:rsidRDefault="00197F45" w:rsidP="00B9475A">
            <w:pPr>
              <w:pStyle w:val="ListParagraph"/>
              <w:numPr>
                <w:ilvl w:val="0"/>
                <w:numId w:val="3"/>
              </w:numPr>
            </w:pPr>
            <w:r>
              <w:t>Used to retain fluid in intravascular compartment</w:t>
            </w:r>
          </w:p>
          <w:p w:rsidR="00197F45" w:rsidRDefault="00197F45" w:rsidP="00B9475A">
            <w:pPr>
              <w:pStyle w:val="ListParagraph"/>
              <w:numPr>
                <w:ilvl w:val="0"/>
                <w:numId w:val="3"/>
              </w:numPr>
            </w:pPr>
            <w:r>
              <w:t>Blood Loss</w:t>
            </w:r>
          </w:p>
          <w:p w:rsidR="00197F45" w:rsidRDefault="00197F45" w:rsidP="00B9475A">
            <w:pPr>
              <w:pStyle w:val="ListParagraph"/>
              <w:numPr>
                <w:ilvl w:val="0"/>
                <w:numId w:val="3"/>
              </w:numPr>
            </w:pPr>
            <w:r>
              <w:t xml:space="preserve">Shock </w:t>
            </w:r>
          </w:p>
        </w:tc>
        <w:tc>
          <w:tcPr>
            <w:tcW w:w="4536" w:type="dxa"/>
          </w:tcPr>
          <w:p w:rsidR="00197F45" w:rsidRPr="005F1E6B" w:rsidRDefault="00197F45" w:rsidP="005F1E6B">
            <w:pPr>
              <w:pStyle w:val="NoSpacing"/>
            </w:pPr>
            <w:r w:rsidRPr="005F1E6B">
              <w:rPr>
                <w:rStyle w:val="Strong"/>
                <w:b w:val="0"/>
                <w:bCs w:val="0"/>
              </w:rPr>
              <w:t>Coagulation:</w:t>
            </w:r>
            <w:r w:rsidRPr="005F1E6B">
              <w:rPr>
                <w:rStyle w:val="apple-converted-space"/>
              </w:rPr>
              <w:t> </w:t>
            </w:r>
            <w:r w:rsidRPr="005F1E6B">
              <w:t>HES administration is associated with reduction in circulating factor VIII and von Willebrand factor levels, impairment of platelet function, prolongation of partial thromboplastin time and activated partial thromboplastin time and increases bleeding complications.</w:t>
            </w:r>
          </w:p>
          <w:p w:rsidR="00197F45" w:rsidRPr="005F1E6B" w:rsidRDefault="00197F45" w:rsidP="005F1E6B">
            <w:pPr>
              <w:pStyle w:val="NoSpacing"/>
            </w:pPr>
          </w:p>
          <w:p w:rsidR="00197F45" w:rsidRPr="005F1E6B" w:rsidRDefault="00197F45" w:rsidP="005F1E6B">
            <w:pPr>
              <w:pStyle w:val="NoSpacing"/>
            </w:pPr>
            <w:r w:rsidRPr="005F1E6B">
              <w:rPr>
                <w:rStyle w:val="Strong"/>
                <w:b w:val="0"/>
                <w:bCs w:val="0"/>
              </w:rPr>
              <w:t>Accumulation:</w:t>
            </w:r>
            <w:r w:rsidRPr="005F1E6B">
              <w:rPr>
                <w:rStyle w:val="apple-converted-space"/>
              </w:rPr>
              <w:t> </w:t>
            </w:r>
            <w:r w:rsidRPr="005F1E6B">
              <w:t>High molecular weight (HMW) HES are associated with greater degree of accumulation in interstitial spaces and reticulo-endothelial system</w:t>
            </w:r>
          </w:p>
          <w:p w:rsidR="00197F45" w:rsidRPr="005F1E6B" w:rsidRDefault="00197F45" w:rsidP="005F1E6B">
            <w:pPr>
              <w:pStyle w:val="NoSpacing"/>
            </w:pPr>
          </w:p>
          <w:p w:rsidR="00197F45" w:rsidRPr="005F1E6B" w:rsidRDefault="00197F45" w:rsidP="005F1E6B">
            <w:pPr>
              <w:pStyle w:val="NoSpacing"/>
            </w:pPr>
            <w:r w:rsidRPr="005F1E6B">
              <w:rPr>
                <w:rStyle w:val="Strong"/>
                <w:b w:val="0"/>
                <w:bCs w:val="0"/>
              </w:rPr>
              <w:t>Renal impairment</w:t>
            </w:r>
            <w:r w:rsidRPr="005F1E6B">
              <w:t xml:space="preserve">: HMW HES has been found to be associated with increased creatinine levels, oliguria, acute renal failure in </w:t>
            </w:r>
          </w:p>
        </w:tc>
      </w:tr>
      <w:tr w:rsidR="0082441B" w:rsidTr="005F1E6B">
        <w:tc>
          <w:tcPr>
            <w:tcW w:w="1092" w:type="dxa"/>
            <w:vMerge/>
          </w:tcPr>
          <w:p w:rsidR="0082441B" w:rsidRDefault="0082441B"/>
        </w:tc>
        <w:tc>
          <w:tcPr>
            <w:tcW w:w="1993" w:type="dxa"/>
          </w:tcPr>
          <w:p w:rsidR="0082441B" w:rsidRDefault="0082441B" w:rsidP="002A69B0">
            <w:pPr>
              <w:pStyle w:val="NoSpacing"/>
            </w:pPr>
            <w:r>
              <w:t>Dextran</w:t>
            </w:r>
          </w:p>
          <w:p w:rsidR="0082441B" w:rsidRDefault="0082441B" w:rsidP="00715AC4">
            <w:pPr>
              <w:pStyle w:val="NoSpacing"/>
            </w:pPr>
          </w:p>
        </w:tc>
        <w:tc>
          <w:tcPr>
            <w:tcW w:w="3071" w:type="dxa"/>
          </w:tcPr>
          <w:p w:rsidR="0082441B" w:rsidRDefault="00FB4ACC" w:rsidP="00885700">
            <w:pPr>
              <w:pStyle w:val="ListParagraph"/>
              <w:numPr>
                <w:ilvl w:val="0"/>
                <w:numId w:val="5"/>
              </w:numPr>
            </w:pPr>
            <w:r>
              <w:t>A</w:t>
            </w:r>
            <w:r w:rsidR="00395595" w:rsidRPr="00395595">
              <w:t>ntithrombotic effects leads to destabilization of clot formation</w:t>
            </w:r>
          </w:p>
          <w:p w:rsidR="00FB4ACC" w:rsidRDefault="00FB4ACC" w:rsidP="00885700">
            <w:pPr>
              <w:pStyle w:val="ListParagraph"/>
              <w:numPr>
                <w:ilvl w:val="0"/>
                <w:numId w:val="5"/>
              </w:numPr>
            </w:pPr>
            <w:r>
              <w:t xml:space="preserve">Extracorporeal circulation </w:t>
            </w:r>
          </w:p>
        </w:tc>
        <w:tc>
          <w:tcPr>
            <w:tcW w:w="4536" w:type="dxa"/>
          </w:tcPr>
          <w:p w:rsidR="0082441B" w:rsidRPr="007E443A" w:rsidRDefault="00885700" w:rsidP="007E443A">
            <w:pPr>
              <w:pStyle w:val="NoSpacing"/>
            </w:pPr>
            <w:r w:rsidRPr="007E443A">
              <w:t>Dextran 40 has been associated with acute renal failure, anaphylaxis, and bleeding diathesis in small animals</w:t>
            </w:r>
          </w:p>
          <w:p w:rsidR="007E443A" w:rsidRPr="007E443A" w:rsidRDefault="007E443A" w:rsidP="007E443A">
            <w:pPr>
              <w:pStyle w:val="NoSpacing"/>
            </w:pPr>
          </w:p>
          <w:p w:rsidR="007E443A" w:rsidRPr="007E443A" w:rsidRDefault="007E443A" w:rsidP="007E443A">
            <w:pPr>
              <w:pStyle w:val="NoSpacing"/>
            </w:pPr>
            <w:r w:rsidRPr="007E443A">
              <w:t xml:space="preserve">May cause severe anaphylactic reactions due to reactive antibodies </w:t>
            </w:r>
          </w:p>
          <w:p w:rsidR="007E443A" w:rsidRPr="007E443A" w:rsidRDefault="007E443A" w:rsidP="007E443A">
            <w:pPr>
              <w:pStyle w:val="NoSpacing"/>
            </w:pPr>
          </w:p>
          <w:p w:rsidR="007E443A" w:rsidRDefault="007E443A" w:rsidP="007E443A">
            <w:pPr>
              <w:pStyle w:val="NoSpacing"/>
            </w:pPr>
            <w:r w:rsidRPr="007E443A">
              <w:t>Coagulation abnormalities: </w:t>
            </w:r>
            <w:r>
              <w:t>may</w:t>
            </w:r>
            <w:r w:rsidRPr="007E443A">
              <w:t xml:space="preserve"> lead to decreased platelet adhesiveness, decreased factor VIII, increase fibrinolysis and coating of endothelium is decreased.</w:t>
            </w:r>
          </w:p>
          <w:p w:rsidR="007E443A" w:rsidRDefault="007E443A" w:rsidP="007E443A">
            <w:pPr>
              <w:pStyle w:val="NoSpacing"/>
            </w:pPr>
          </w:p>
          <w:p w:rsidR="005F1E6B" w:rsidRDefault="007E443A" w:rsidP="007E443A">
            <w:pPr>
              <w:pStyle w:val="NoSpacing"/>
            </w:pPr>
            <w:r w:rsidRPr="007E443A">
              <w:t xml:space="preserve">Interference with cross-match:  can interfere with the ability to cross-match blood. </w:t>
            </w:r>
          </w:p>
          <w:p w:rsidR="005F1E6B" w:rsidRDefault="005F1E6B" w:rsidP="007E443A">
            <w:pPr>
              <w:pStyle w:val="NoSpacing"/>
            </w:pPr>
          </w:p>
          <w:p w:rsidR="005F1E6B" w:rsidRDefault="005F1E6B" w:rsidP="007E443A">
            <w:pPr>
              <w:pStyle w:val="NoSpacing"/>
            </w:pPr>
            <w:r>
              <w:t>Dextran</w:t>
            </w:r>
            <w:r w:rsidR="007E443A" w:rsidRPr="007E443A">
              <w:t xml:space="preserve"> also increase erythrocyte sedimentation rate.</w:t>
            </w:r>
          </w:p>
          <w:p w:rsidR="007E443A" w:rsidRPr="007E443A" w:rsidRDefault="005F1E6B" w:rsidP="007E443A">
            <w:pPr>
              <w:pStyle w:val="NoSpacing"/>
            </w:pPr>
            <w:r w:rsidRPr="007E443A">
              <w:t xml:space="preserve"> </w:t>
            </w:r>
          </w:p>
          <w:p w:rsidR="007E443A" w:rsidRPr="007E443A" w:rsidRDefault="007E443A" w:rsidP="007E443A">
            <w:pPr>
              <w:pStyle w:val="NoSpacing"/>
            </w:pPr>
            <w:r w:rsidRPr="007E443A">
              <w:t>Precipitation of acute renal failure: accumulation of the dextran molecules in the renal tub</w:t>
            </w:r>
            <w:r w:rsidR="005F1E6B">
              <w:t xml:space="preserve">ules causing tubular plugging. </w:t>
            </w:r>
            <w:r w:rsidRPr="007E443A">
              <w:t xml:space="preserve"> </w:t>
            </w:r>
          </w:p>
          <w:p w:rsidR="007E443A" w:rsidRPr="007E443A" w:rsidRDefault="007E443A" w:rsidP="007E443A">
            <w:pPr>
              <w:pStyle w:val="NoSpacing"/>
            </w:pPr>
          </w:p>
        </w:tc>
      </w:tr>
      <w:tr w:rsidR="0082441B" w:rsidTr="005F1E6B">
        <w:tc>
          <w:tcPr>
            <w:tcW w:w="1092" w:type="dxa"/>
            <w:vMerge/>
          </w:tcPr>
          <w:p w:rsidR="0082441B" w:rsidRDefault="0082441B"/>
        </w:tc>
        <w:tc>
          <w:tcPr>
            <w:tcW w:w="1993" w:type="dxa"/>
          </w:tcPr>
          <w:p w:rsidR="0082441B" w:rsidRPr="0084297B" w:rsidRDefault="0082441B" w:rsidP="00B9475A">
            <w:pPr>
              <w:pStyle w:val="NoSpacing"/>
            </w:pPr>
            <w:r w:rsidRPr="0084297B">
              <w:t xml:space="preserve">Hemoglobin glutamer-200 (Oxyglobin—Biopure) </w:t>
            </w:r>
          </w:p>
        </w:tc>
        <w:tc>
          <w:tcPr>
            <w:tcW w:w="3071" w:type="dxa"/>
          </w:tcPr>
          <w:p w:rsidR="0082441B" w:rsidRDefault="0082441B" w:rsidP="00B9475A">
            <w:pPr>
              <w:pStyle w:val="ListParagraph"/>
              <w:numPr>
                <w:ilvl w:val="0"/>
                <w:numId w:val="4"/>
              </w:numPr>
            </w:pPr>
            <w:r>
              <w:t>Colloidal properties like hetastarch but with a bovine hemoglobin-based solution</w:t>
            </w:r>
          </w:p>
          <w:p w:rsidR="0082441B" w:rsidRDefault="0082441B" w:rsidP="00B9475A">
            <w:pPr>
              <w:pStyle w:val="ListParagraph"/>
              <w:numPr>
                <w:ilvl w:val="0"/>
                <w:numId w:val="4"/>
              </w:numPr>
            </w:pPr>
            <w:r>
              <w:t xml:space="preserve">Used to increase plasma and total hemoglobin concentrations in anaemic animals </w:t>
            </w:r>
          </w:p>
        </w:tc>
        <w:tc>
          <w:tcPr>
            <w:tcW w:w="4536" w:type="dxa"/>
          </w:tcPr>
          <w:p w:rsidR="0082441B" w:rsidRDefault="0082441B"/>
        </w:tc>
      </w:tr>
    </w:tbl>
    <w:p w:rsidR="00CC4A9B" w:rsidRDefault="00CC4A9B"/>
    <w:sectPr w:rsidR="00CC4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61A"/>
    <w:multiLevelType w:val="multilevel"/>
    <w:tmpl w:val="E896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453F4"/>
    <w:multiLevelType w:val="hybridMultilevel"/>
    <w:tmpl w:val="B61608D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322F706D"/>
    <w:multiLevelType w:val="hybridMultilevel"/>
    <w:tmpl w:val="680890F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nsid w:val="4027558F"/>
    <w:multiLevelType w:val="hybridMultilevel"/>
    <w:tmpl w:val="DA2E8F0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nsid w:val="438507BF"/>
    <w:multiLevelType w:val="hybridMultilevel"/>
    <w:tmpl w:val="C4022C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nsid w:val="7F48320A"/>
    <w:multiLevelType w:val="hybridMultilevel"/>
    <w:tmpl w:val="993C401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86"/>
    <w:rsid w:val="00032069"/>
    <w:rsid w:val="00043489"/>
    <w:rsid w:val="00061320"/>
    <w:rsid w:val="000A5D86"/>
    <w:rsid w:val="000F64D3"/>
    <w:rsid w:val="00197F45"/>
    <w:rsid w:val="001C5EDA"/>
    <w:rsid w:val="002225FE"/>
    <w:rsid w:val="0022408F"/>
    <w:rsid w:val="002A69B0"/>
    <w:rsid w:val="002B3008"/>
    <w:rsid w:val="00395595"/>
    <w:rsid w:val="005D2172"/>
    <w:rsid w:val="005F1E6B"/>
    <w:rsid w:val="006322FE"/>
    <w:rsid w:val="006B605B"/>
    <w:rsid w:val="00715AC4"/>
    <w:rsid w:val="007971E9"/>
    <w:rsid w:val="007E443A"/>
    <w:rsid w:val="0082441B"/>
    <w:rsid w:val="0084297B"/>
    <w:rsid w:val="00885700"/>
    <w:rsid w:val="009F78C4"/>
    <w:rsid w:val="00AA4374"/>
    <w:rsid w:val="00B9475A"/>
    <w:rsid w:val="00CC4A9B"/>
    <w:rsid w:val="00D56A2E"/>
    <w:rsid w:val="00F83F69"/>
    <w:rsid w:val="00FB4ACC"/>
    <w:rsid w:val="00FF540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D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AC4"/>
    <w:pPr>
      <w:ind w:left="720"/>
      <w:contextualSpacing/>
    </w:pPr>
  </w:style>
  <w:style w:type="paragraph" w:styleId="NoSpacing">
    <w:name w:val="No Spacing"/>
    <w:uiPriority w:val="1"/>
    <w:qFormat/>
    <w:rsid w:val="00715AC4"/>
    <w:pPr>
      <w:spacing w:line="240" w:lineRule="auto"/>
    </w:pPr>
  </w:style>
  <w:style w:type="character" w:customStyle="1" w:styleId="apple-converted-space">
    <w:name w:val="apple-converted-space"/>
    <w:basedOn w:val="DefaultParagraphFont"/>
    <w:rsid w:val="0084297B"/>
  </w:style>
  <w:style w:type="character" w:styleId="Strong">
    <w:name w:val="Strong"/>
    <w:basedOn w:val="DefaultParagraphFont"/>
    <w:uiPriority w:val="22"/>
    <w:qFormat/>
    <w:rsid w:val="007E443A"/>
    <w:rPr>
      <w:b/>
      <w:bCs/>
    </w:rPr>
  </w:style>
  <w:style w:type="character" w:styleId="Hyperlink">
    <w:name w:val="Hyperlink"/>
    <w:basedOn w:val="DefaultParagraphFont"/>
    <w:uiPriority w:val="99"/>
    <w:semiHidden/>
    <w:unhideWhenUsed/>
    <w:rsid w:val="007E4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D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AC4"/>
    <w:pPr>
      <w:ind w:left="720"/>
      <w:contextualSpacing/>
    </w:pPr>
  </w:style>
  <w:style w:type="paragraph" w:styleId="NoSpacing">
    <w:name w:val="No Spacing"/>
    <w:uiPriority w:val="1"/>
    <w:qFormat/>
    <w:rsid w:val="00715AC4"/>
    <w:pPr>
      <w:spacing w:line="240" w:lineRule="auto"/>
    </w:pPr>
  </w:style>
  <w:style w:type="character" w:customStyle="1" w:styleId="apple-converted-space">
    <w:name w:val="apple-converted-space"/>
    <w:basedOn w:val="DefaultParagraphFont"/>
    <w:rsid w:val="0084297B"/>
  </w:style>
  <w:style w:type="character" w:styleId="Strong">
    <w:name w:val="Strong"/>
    <w:basedOn w:val="DefaultParagraphFont"/>
    <w:uiPriority w:val="22"/>
    <w:qFormat/>
    <w:rsid w:val="007E443A"/>
    <w:rPr>
      <w:b/>
      <w:bCs/>
    </w:rPr>
  </w:style>
  <w:style w:type="character" w:styleId="Hyperlink">
    <w:name w:val="Hyperlink"/>
    <w:basedOn w:val="DefaultParagraphFont"/>
    <w:uiPriority w:val="99"/>
    <w:semiHidden/>
    <w:unhideWhenUsed/>
    <w:rsid w:val="007E4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41072">
      <w:bodyDiv w:val="1"/>
      <w:marLeft w:val="0"/>
      <w:marRight w:val="0"/>
      <w:marTop w:val="0"/>
      <w:marBottom w:val="0"/>
      <w:divBdr>
        <w:top w:val="none" w:sz="0" w:space="0" w:color="auto"/>
        <w:left w:val="none" w:sz="0" w:space="0" w:color="auto"/>
        <w:bottom w:val="none" w:sz="0" w:space="0" w:color="auto"/>
        <w:right w:val="none" w:sz="0" w:space="0" w:color="auto"/>
      </w:divBdr>
      <w:divsChild>
        <w:div w:id="530000829">
          <w:marLeft w:val="0"/>
          <w:marRight w:val="0"/>
          <w:marTop w:val="0"/>
          <w:marBottom w:val="0"/>
          <w:divBdr>
            <w:top w:val="none" w:sz="0" w:space="0" w:color="auto"/>
            <w:left w:val="none" w:sz="0" w:space="0" w:color="auto"/>
            <w:bottom w:val="none" w:sz="0" w:space="0" w:color="auto"/>
            <w:right w:val="none" w:sz="0" w:space="0" w:color="auto"/>
          </w:divBdr>
        </w:div>
        <w:div w:id="2069719693">
          <w:marLeft w:val="0"/>
          <w:marRight w:val="0"/>
          <w:marTop w:val="0"/>
          <w:marBottom w:val="0"/>
          <w:divBdr>
            <w:top w:val="none" w:sz="0" w:space="0" w:color="auto"/>
            <w:left w:val="none" w:sz="0" w:space="0" w:color="auto"/>
            <w:bottom w:val="none" w:sz="0" w:space="0" w:color="auto"/>
            <w:right w:val="none" w:sz="0" w:space="0" w:color="auto"/>
          </w:divBdr>
        </w:div>
        <w:div w:id="157007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c:creator>
  <cp:lastModifiedBy>Kin</cp:lastModifiedBy>
  <cp:revision>25</cp:revision>
  <dcterms:created xsi:type="dcterms:W3CDTF">2013-09-18T02:37:00Z</dcterms:created>
  <dcterms:modified xsi:type="dcterms:W3CDTF">2013-09-18T22:56:00Z</dcterms:modified>
</cp:coreProperties>
</file>