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DA0" w:rsidRDefault="00056DA0" w:rsidP="00056DA0">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TITULO. X</w:t>
      </w:r>
    </w:p>
    <w:p w:rsidR="00056DA0" w:rsidRDefault="00056DA0" w:rsidP="00056DA0">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REGIMEN DE TRANSICION</w:t>
      </w:r>
    </w:p>
    <w:p w:rsidR="00056DA0" w:rsidRDefault="00056DA0" w:rsidP="00056DA0">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0" w:name="68"/>
      <w:r>
        <w:rPr>
          <w:rFonts w:ascii="Arial" w:hAnsi="Arial" w:cs="Arial"/>
          <w:b/>
          <w:bCs/>
          <w:color w:val="000000"/>
          <w:sz w:val="27"/>
          <w:szCs w:val="27"/>
        </w:rPr>
        <w:t> </w:t>
      </w:r>
      <w:bookmarkEnd w:id="0"/>
      <w:r>
        <w:rPr>
          <w:rFonts w:ascii="Arial" w:hAnsi="Arial" w:cs="Arial"/>
          <w:b/>
          <w:bCs/>
          <w:color w:val="000000"/>
          <w:sz w:val="27"/>
          <w:szCs w:val="27"/>
        </w:rPr>
        <w:t>68. De las concesiones, licencias, permisos y autorizaciones.</w:t>
      </w:r>
      <w:r>
        <w:rPr>
          <w:rFonts w:ascii="Arial" w:hAnsi="Arial" w:cs="Arial"/>
          <w:color w:val="000000"/>
          <w:sz w:val="27"/>
          <w:szCs w:val="27"/>
        </w:rPr>
        <w:t>  </w:t>
      </w:r>
      <w:hyperlink r:id="rId4" w:anchor="0" w:history="1">
        <w:r>
          <w:rPr>
            <w:rStyle w:val="Hipervnculo"/>
            <w:rFonts w:ascii="Arial" w:hAnsi="Arial" w:cs="Arial"/>
            <w:sz w:val="27"/>
            <w:szCs w:val="27"/>
          </w:rPr>
          <w:t>Reglamentado por el Decreto Nacional 2044 de 2013</w:t>
        </w:r>
      </w:hyperlink>
      <w:r>
        <w:rPr>
          <w:rFonts w:ascii="Arial" w:hAnsi="Arial" w:cs="Arial"/>
          <w:color w:val="000000"/>
          <w:sz w:val="27"/>
          <w:szCs w:val="27"/>
        </w:rPr>
        <w:t>. Los proveedores de redes y servicios de telecomunicaciones establecidos a la fecha de entrada en vigencia de la presente ley, podrán mantener sus concesiones, licencias, permisos y autorizaciones hasta por el término de los mismos, bajo la normatividad legal vigente en el momento de su expedición, y con efectos sólo para estas concesiones, licencias, permisos y autorizaciones. De ahí en adelante, a los proveedores de redes y servicios de telecomunicaciones se les aplicará el nuevo régimen previsto en la presente ley.</w:t>
      </w:r>
    </w:p>
    <w:p w:rsidR="00056DA0" w:rsidRDefault="00056DA0" w:rsidP="00056DA0">
      <w:pPr>
        <w:pStyle w:val="NormalWeb"/>
        <w:shd w:val="clear" w:color="auto" w:fill="FFFFFF"/>
        <w:rPr>
          <w:rFonts w:ascii="Arial" w:hAnsi="Arial" w:cs="Arial"/>
          <w:color w:val="000000"/>
          <w:sz w:val="27"/>
          <w:szCs w:val="27"/>
        </w:rPr>
      </w:pPr>
      <w:r>
        <w:rPr>
          <w:rFonts w:ascii="Arial" w:hAnsi="Arial" w:cs="Arial"/>
          <w:color w:val="000000"/>
          <w:sz w:val="27"/>
          <w:szCs w:val="27"/>
        </w:rPr>
        <w:t>La decisión de los proveedores de redes y servicios de telecomunicaciones de acogerse al régimen de habilitación general de la presente ley, la cual conlleva necesariamente la terminación anticipada de las respectivas concesiones, licencias, permisos y autorizaciones, no genera derechos a reclamación alguna, ni el reconocimiento de perjuicios o indemnizaciones en contra del Estado o a favor de este.</w:t>
      </w:r>
    </w:p>
    <w:p w:rsidR="00056DA0" w:rsidRDefault="00056DA0" w:rsidP="00056DA0">
      <w:pPr>
        <w:pStyle w:val="NormalWeb"/>
        <w:shd w:val="clear" w:color="auto" w:fill="FFFFFF"/>
        <w:rPr>
          <w:rFonts w:ascii="Arial" w:hAnsi="Arial" w:cs="Arial"/>
          <w:color w:val="000000"/>
          <w:sz w:val="27"/>
          <w:szCs w:val="27"/>
        </w:rPr>
      </w:pPr>
      <w:r>
        <w:rPr>
          <w:rFonts w:ascii="Arial" w:hAnsi="Arial" w:cs="Arial"/>
          <w:color w:val="000000"/>
          <w:sz w:val="27"/>
          <w:szCs w:val="27"/>
        </w:rPr>
        <w:t>A los proveedores de redes y servicios de telecomunicaciones establecidos a la fecha de la expedición de la presente ley, que se acojan o les aplique el régimen de autorización general previsto en esta ley, se les renovarán los permisos para el uso de los recursos escasos de acuerdo con los términos de su título habilitante, permisos y autorizaciones respectivos. Vencido el anterior término deberán acogerse a lo estipulado en el artículo 12 de esta ley.</w:t>
      </w:r>
    </w:p>
    <w:p w:rsidR="00056DA0" w:rsidRDefault="00056DA0" w:rsidP="00056DA0">
      <w:pPr>
        <w:pStyle w:val="NormalWeb"/>
        <w:shd w:val="clear" w:color="auto" w:fill="FFFFFF"/>
        <w:rPr>
          <w:rFonts w:ascii="Arial" w:hAnsi="Arial" w:cs="Arial"/>
          <w:color w:val="000000"/>
          <w:sz w:val="27"/>
          <w:szCs w:val="27"/>
        </w:rPr>
      </w:pPr>
      <w:r>
        <w:rPr>
          <w:rFonts w:ascii="Arial" w:hAnsi="Arial" w:cs="Arial"/>
          <w:color w:val="000000"/>
          <w:sz w:val="27"/>
          <w:szCs w:val="27"/>
        </w:rPr>
        <w:t>En las concesiones, licencias, permisos y autorizaciones de servicios de telecomunicaciones al momento de la entrada en vigencia de la presente ley, la reversión sólo implicará que revertirán al Estado las frecuencias radioeléctricas asignadas para la prestación del servicio concedido. La reversión de frecuencias no requerirá de ningún acto administrativo especial.</w:t>
      </w:r>
    </w:p>
    <w:p w:rsidR="00056DA0" w:rsidRDefault="00056DA0" w:rsidP="00056DA0">
      <w:pPr>
        <w:pStyle w:val="NormalWeb"/>
        <w:shd w:val="clear" w:color="auto" w:fill="FFFFFF"/>
        <w:rPr>
          <w:rFonts w:ascii="Arial" w:hAnsi="Arial" w:cs="Arial"/>
          <w:color w:val="000000"/>
          <w:sz w:val="27"/>
          <w:szCs w:val="27"/>
        </w:rPr>
      </w:pPr>
      <w:r>
        <w:rPr>
          <w:rStyle w:val="Textoennegrita"/>
          <w:rFonts w:ascii="Arial" w:hAnsi="Arial" w:cs="Arial"/>
          <w:color w:val="000000"/>
          <w:sz w:val="27"/>
          <w:szCs w:val="27"/>
        </w:rPr>
        <w:t>NOTA: Inciso declarado EXEQUIBLE por la Corte Constitucional mediante Sentencia</w:t>
      </w:r>
      <w:r>
        <w:rPr>
          <w:rStyle w:val="apple-converted-space"/>
          <w:rFonts w:ascii="Arial" w:hAnsi="Arial" w:cs="Arial"/>
          <w:color w:val="000000"/>
          <w:sz w:val="27"/>
          <w:szCs w:val="27"/>
        </w:rPr>
        <w:t> </w:t>
      </w:r>
      <w:r>
        <w:rPr>
          <w:rFonts w:ascii="Arial" w:hAnsi="Arial" w:cs="Arial"/>
          <w:color w:val="000000"/>
          <w:sz w:val="27"/>
          <w:szCs w:val="27"/>
        </w:rPr>
        <w:t>C-555</w:t>
      </w:r>
      <w:r>
        <w:rPr>
          <w:rStyle w:val="apple-converted-space"/>
          <w:rFonts w:ascii="Arial" w:hAnsi="Arial" w:cs="Arial"/>
          <w:color w:val="000000"/>
          <w:sz w:val="27"/>
          <w:szCs w:val="27"/>
        </w:rPr>
        <w:t> </w:t>
      </w:r>
      <w:r>
        <w:rPr>
          <w:rStyle w:val="Textoennegrita"/>
          <w:rFonts w:ascii="Arial" w:hAnsi="Arial" w:cs="Arial"/>
          <w:color w:val="000000"/>
          <w:sz w:val="27"/>
          <w:szCs w:val="27"/>
        </w:rPr>
        <w:t>de 2013.</w:t>
      </w:r>
    </w:p>
    <w:p w:rsidR="00056DA0" w:rsidRDefault="00056DA0" w:rsidP="00056DA0">
      <w:pPr>
        <w:pStyle w:val="NormalWeb"/>
        <w:shd w:val="clear" w:color="auto" w:fill="FFFFFF"/>
        <w:rPr>
          <w:rFonts w:ascii="Arial" w:hAnsi="Arial" w:cs="Arial"/>
          <w:color w:val="000000"/>
          <w:sz w:val="27"/>
          <w:szCs w:val="27"/>
        </w:rPr>
      </w:pPr>
      <w:r>
        <w:rPr>
          <w:rFonts w:ascii="Arial" w:hAnsi="Arial" w:cs="Arial"/>
          <w:color w:val="000000"/>
          <w:sz w:val="27"/>
          <w:szCs w:val="27"/>
        </w:rPr>
        <w:t>En todo caso todos los nuevos proveedores de redes y servicios de telecomunicaciones se sujetarán a lo establecido en la presente ley.</w:t>
      </w:r>
    </w:p>
    <w:p w:rsidR="00056DA0" w:rsidRDefault="00056DA0" w:rsidP="00056DA0">
      <w:pPr>
        <w:pStyle w:val="NormalWeb"/>
        <w:shd w:val="clear" w:color="auto" w:fill="FFFFFF"/>
        <w:rPr>
          <w:rFonts w:ascii="Arial" w:hAnsi="Arial" w:cs="Arial"/>
          <w:color w:val="000000"/>
          <w:sz w:val="27"/>
          <w:szCs w:val="27"/>
        </w:rPr>
      </w:pPr>
      <w:r>
        <w:rPr>
          <w:rStyle w:val="Textoennegrita"/>
          <w:rFonts w:ascii="Arial" w:hAnsi="Arial" w:cs="Arial"/>
          <w:color w:val="000000"/>
          <w:sz w:val="27"/>
          <w:szCs w:val="27"/>
        </w:rPr>
        <w:lastRenderedPageBreak/>
        <w:t>Artículo </w:t>
      </w:r>
      <w:bookmarkStart w:id="1" w:name="69"/>
      <w:r>
        <w:rPr>
          <w:rStyle w:val="Textoennegrita"/>
          <w:rFonts w:ascii="Arial" w:hAnsi="Arial" w:cs="Arial"/>
          <w:color w:val="000000"/>
          <w:sz w:val="27"/>
          <w:szCs w:val="27"/>
        </w:rPr>
        <w:t> </w:t>
      </w:r>
      <w:bookmarkEnd w:id="1"/>
      <w:r>
        <w:rPr>
          <w:rStyle w:val="Textoennegrita"/>
          <w:rFonts w:ascii="Arial" w:hAnsi="Arial" w:cs="Arial"/>
          <w:color w:val="000000"/>
          <w:sz w:val="27"/>
          <w:szCs w:val="27"/>
        </w:rPr>
        <w:t>69. Transición para los actuales proveedores de redes y servicios de Telefonía Pública Básica Conmutada Local (TPBCL) y Local Extendida (TPBCLE).</w:t>
      </w:r>
      <w:hyperlink r:id="rId5" w:anchor="0" w:history="1">
        <w:r>
          <w:rPr>
            <w:rStyle w:val="Hipervnculo"/>
            <w:rFonts w:ascii="Arial" w:hAnsi="Arial" w:cs="Arial"/>
            <w:sz w:val="27"/>
            <w:szCs w:val="27"/>
          </w:rPr>
          <w:t>Reglamentado por el Decreto 5052 de 2009</w:t>
        </w:r>
      </w:hyperlink>
      <w:r>
        <w:rPr>
          <w:rFonts w:ascii="Arial" w:hAnsi="Arial" w:cs="Arial"/>
          <w:color w:val="000000"/>
          <w:sz w:val="27"/>
          <w:szCs w:val="27"/>
        </w:rPr>
        <w:t>,</w:t>
      </w:r>
      <w:r>
        <w:rPr>
          <w:rStyle w:val="apple-converted-space"/>
          <w:rFonts w:ascii="Arial" w:hAnsi="Arial" w:cs="Arial"/>
          <w:color w:val="000000"/>
          <w:sz w:val="27"/>
          <w:szCs w:val="27"/>
        </w:rPr>
        <w:t> </w:t>
      </w:r>
      <w:hyperlink r:id="rId6" w:anchor="276" w:history="1">
        <w:r>
          <w:rPr>
            <w:rStyle w:val="Hipervnculo"/>
            <w:rFonts w:ascii="Arial" w:hAnsi="Arial" w:cs="Arial"/>
            <w:sz w:val="27"/>
            <w:szCs w:val="27"/>
          </w:rPr>
          <w:t>Derogado por el art. 276, Ley 1450 de 2011</w:t>
        </w:r>
      </w:hyperlink>
      <w:r>
        <w:rPr>
          <w:rFonts w:ascii="Arial" w:hAnsi="Arial" w:cs="Arial"/>
          <w:color w:val="000000"/>
          <w:sz w:val="27"/>
          <w:szCs w:val="27"/>
        </w:rPr>
        <w:t>.</w:t>
      </w:r>
      <w:r>
        <w:rPr>
          <w:rStyle w:val="apple-converted-space"/>
          <w:rFonts w:ascii="Arial" w:hAnsi="Arial" w:cs="Arial"/>
          <w:b/>
          <w:bCs/>
          <w:color w:val="000000"/>
          <w:sz w:val="27"/>
          <w:szCs w:val="27"/>
        </w:rPr>
        <w:t> </w:t>
      </w:r>
      <w:r>
        <w:rPr>
          <w:rFonts w:ascii="Arial" w:hAnsi="Arial" w:cs="Arial"/>
          <w:color w:val="000000"/>
          <w:sz w:val="27"/>
          <w:szCs w:val="27"/>
        </w:rPr>
        <w:t>Los proveedores de redes y servicios de telecomunicaciones establecidos para TPBCL y TPBCLE, destinarán directamente a sus usuarios de estratos 1 y 2, la contraprestación de que trata el artículo 36 de la presente ley por un período de cinco (5) años, contados a partir del momento en que dicho artículo se reglamente. Durante este periodo se continuará aplicando el esquema de subsidios que establece la Ley 142 de 1994.</w:t>
      </w:r>
    </w:p>
    <w:p w:rsidR="00056DA0" w:rsidRDefault="00056DA0" w:rsidP="00056DA0">
      <w:pPr>
        <w:pStyle w:val="NormalWeb"/>
        <w:shd w:val="clear" w:color="auto" w:fill="FFFFFF"/>
        <w:rPr>
          <w:rFonts w:ascii="Arial" w:hAnsi="Arial" w:cs="Arial"/>
          <w:color w:val="000000"/>
          <w:sz w:val="27"/>
          <w:szCs w:val="27"/>
        </w:rPr>
      </w:pPr>
      <w:proofErr w:type="spellStart"/>
      <w:r>
        <w:rPr>
          <w:rFonts w:ascii="Arial" w:hAnsi="Arial" w:cs="Arial"/>
          <w:color w:val="000000"/>
          <w:sz w:val="27"/>
          <w:szCs w:val="27"/>
        </w:rPr>
        <w:t>Autorízase</w:t>
      </w:r>
      <w:proofErr w:type="spellEnd"/>
      <w:r>
        <w:rPr>
          <w:rFonts w:ascii="Arial" w:hAnsi="Arial" w:cs="Arial"/>
          <w:color w:val="000000"/>
          <w:sz w:val="27"/>
          <w:szCs w:val="27"/>
        </w:rPr>
        <w:t xml:space="preserve"> a la Nación a presupuestar los recursos necesarios para pagar el déficit entre subsidios y contribuciones derivados de la expedición de la Ley 812 de 2003. La Nación pagará el ciento por ciento del monto del déficit generado por la Ley 812 en las siguientes tres (3) vigencias presupuestales a la aprobación de la presente ley, para lo cual se tendrá en cuenta la verificación que realice el Ministerio de Tecnologías de la Información y las Comunicaciones del cumplimiento de los límites, en cuanto a subsidios, derivados de la aplicación de la Ley 142 de 1994. </w:t>
      </w:r>
      <w:r>
        <w:rPr>
          <w:rStyle w:val="Textoennegrita"/>
          <w:rFonts w:ascii="Arial" w:hAnsi="Arial" w:cs="Arial"/>
          <w:color w:val="000000"/>
          <w:sz w:val="27"/>
          <w:szCs w:val="27"/>
        </w:rPr>
        <w:t>Mantiene su vigencia</w:t>
      </w:r>
      <w:r>
        <w:rPr>
          <w:rFonts w:ascii="Arial" w:hAnsi="Arial" w:cs="Arial"/>
          <w:color w:val="000000"/>
          <w:sz w:val="27"/>
          <w:szCs w:val="27"/>
        </w:rPr>
        <w:t> </w:t>
      </w:r>
    </w:p>
    <w:p w:rsidR="00056DA0" w:rsidRDefault="00056DA0" w:rsidP="00056DA0">
      <w:pPr>
        <w:pStyle w:val="NormalWeb"/>
        <w:shd w:val="clear" w:color="auto" w:fill="FFFFFF"/>
        <w:rPr>
          <w:rFonts w:ascii="Arial" w:hAnsi="Arial" w:cs="Arial"/>
          <w:color w:val="000000"/>
          <w:sz w:val="27"/>
          <w:szCs w:val="27"/>
        </w:rPr>
      </w:pPr>
      <w:r>
        <w:rPr>
          <w:rFonts w:ascii="Arial" w:hAnsi="Arial" w:cs="Arial"/>
          <w:color w:val="000000"/>
          <w:sz w:val="27"/>
          <w:szCs w:val="27"/>
        </w:rPr>
        <w:t>El déficit generado en el período de transición que no sea posible cubrir con el valor de la contraprestación que trata el artículo 36, será cubierto anualmente por el Fondo de Tecnologías de la Información y las Comunicaciones de acuerdo con los informes presentados en los formatos definidos para tal fin.</w:t>
      </w:r>
      <w:r>
        <w:rPr>
          <w:rStyle w:val="apple-converted-space"/>
          <w:rFonts w:ascii="Arial" w:hAnsi="Arial" w:cs="Arial"/>
          <w:color w:val="000000"/>
          <w:sz w:val="27"/>
          <w:szCs w:val="27"/>
        </w:rPr>
        <w:t> </w:t>
      </w:r>
      <w:hyperlink r:id="rId7" w:anchor="276" w:history="1">
        <w:r>
          <w:rPr>
            <w:rStyle w:val="Hipervnculo"/>
            <w:rFonts w:ascii="Arial" w:hAnsi="Arial" w:cs="Arial"/>
            <w:sz w:val="27"/>
            <w:szCs w:val="27"/>
          </w:rPr>
          <w:t>Derogado por el art. 276, Ley 1450 de 2011</w:t>
        </w:r>
      </w:hyperlink>
    </w:p>
    <w:p w:rsidR="00056DA0" w:rsidRDefault="00056DA0" w:rsidP="00056DA0">
      <w:pPr>
        <w:pStyle w:val="NormalWeb"/>
        <w:shd w:val="clear" w:color="auto" w:fill="FFFFFF"/>
        <w:rPr>
          <w:rFonts w:ascii="Arial" w:hAnsi="Arial" w:cs="Arial"/>
          <w:color w:val="000000"/>
          <w:sz w:val="27"/>
          <w:szCs w:val="27"/>
        </w:rPr>
      </w:pPr>
      <w:r>
        <w:rPr>
          <w:rFonts w:ascii="Arial" w:hAnsi="Arial" w:cs="Arial"/>
          <w:b/>
          <w:bCs/>
          <w:color w:val="000000"/>
          <w:sz w:val="27"/>
          <w:szCs w:val="27"/>
        </w:rPr>
        <w:t>Parágrafo 1°.</w:t>
      </w:r>
      <w:r>
        <w:rPr>
          <w:rStyle w:val="apple-converted-space"/>
          <w:rFonts w:ascii="Arial" w:hAnsi="Arial" w:cs="Arial"/>
          <w:b/>
          <w:bCs/>
          <w:color w:val="000000"/>
          <w:sz w:val="27"/>
          <w:szCs w:val="27"/>
        </w:rPr>
        <w:t> </w:t>
      </w:r>
      <w:r>
        <w:rPr>
          <w:rFonts w:ascii="Arial" w:hAnsi="Arial" w:cs="Arial"/>
          <w:color w:val="000000"/>
          <w:sz w:val="27"/>
          <w:szCs w:val="27"/>
        </w:rPr>
        <w:t>El Ministerio de Tecnologías de la Información y las Comunicaciones evaluará si el monto total de la contraprestación que le correspondería pagar a las empresas fue destinado a la cobertura del subsidio. En caso de que existiese superávit de recursos estos serán reintegrados al Fondo de Tecnologías de la Información y las Comunicaciones.</w:t>
      </w:r>
    </w:p>
    <w:p w:rsidR="00056DA0" w:rsidRDefault="00056DA0" w:rsidP="00056DA0">
      <w:pPr>
        <w:pStyle w:val="NormalWeb"/>
        <w:shd w:val="clear" w:color="auto" w:fill="FFFFFF"/>
        <w:rPr>
          <w:rFonts w:ascii="Arial" w:hAnsi="Arial" w:cs="Arial"/>
          <w:color w:val="000000"/>
          <w:sz w:val="27"/>
          <w:szCs w:val="27"/>
        </w:rPr>
      </w:pPr>
      <w:r>
        <w:rPr>
          <w:rFonts w:ascii="Arial" w:hAnsi="Arial" w:cs="Arial"/>
          <w:b/>
          <w:bCs/>
          <w:color w:val="000000"/>
          <w:sz w:val="27"/>
          <w:szCs w:val="27"/>
        </w:rPr>
        <w:t>Parágrafo 2°.</w:t>
      </w:r>
      <w:r>
        <w:rPr>
          <w:rStyle w:val="apple-converted-space"/>
          <w:rFonts w:ascii="Arial" w:hAnsi="Arial" w:cs="Arial"/>
          <w:b/>
          <w:bCs/>
          <w:color w:val="000000"/>
          <w:sz w:val="27"/>
          <w:szCs w:val="27"/>
        </w:rPr>
        <w:t> </w:t>
      </w:r>
      <w:r>
        <w:rPr>
          <w:rFonts w:ascii="Arial" w:hAnsi="Arial" w:cs="Arial"/>
          <w:color w:val="000000"/>
          <w:sz w:val="27"/>
          <w:szCs w:val="27"/>
        </w:rPr>
        <w:t>El Ministerio de Tecnologías de la Información y las Comunicaciones, promocionará a través del Fondo de Tecnologías de la Información y las Comunicaciones, durante el período de transición al que hace referencia el presente artículo, proyectos de masificación de accesos a banda ancha en estratos 1 y 2 sobre las redes de TPBCL y TPBCLE.</w:t>
      </w:r>
    </w:p>
    <w:p w:rsidR="00056DA0" w:rsidRDefault="00056DA0" w:rsidP="00056DA0">
      <w:pPr>
        <w:pStyle w:val="NormalWeb"/>
        <w:shd w:val="clear" w:color="auto" w:fill="FFFFFF"/>
        <w:rPr>
          <w:rFonts w:ascii="Arial" w:hAnsi="Arial" w:cs="Arial"/>
          <w:color w:val="000000"/>
          <w:sz w:val="27"/>
          <w:szCs w:val="27"/>
        </w:rPr>
      </w:pPr>
      <w:hyperlink r:id="rId8" w:anchor="0" w:history="1">
        <w:r>
          <w:rPr>
            <w:rStyle w:val="Hipervnculo"/>
            <w:rFonts w:ascii="Arial" w:hAnsi="Arial" w:cs="Arial"/>
            <w:sz w:val="27"/>
            <w:szCs w:val="27"/>
          </w:rPr>
          <w:t>Ver la Resolución Min. TIC 1495 de 2010</w:t>
        </w:r>
      </w:hyperlink>
    </w:p>
    <w:p w:rsidR="001D7294" w:rsidRPr="00056DA0" w:rsidRDefault="001D7294" w:rsidP="00056DA0">
      <w:bookmarkStart w:id="2" w:name="_GoBack"/>
      <w:bookmarkEnd w:id="2"/>
    </w:p>
    <w:sectPr w:rsidR="001D7294" w:rsidRPr="00056D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D1"/>
    <w:rsid w:val="00056DA0"/>
    <w:rsid w:val="001D7294"/>
    <w:rsid w:val="00D258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77FAF-58FC-4453-8B73-0C27939B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258D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258D1"/>
  </w:style>
  <w:style w:type="character" w:styleId="Hipervnculo">
    <w:name w:val="Hyperlink"/>
    <w:basedOn w:val="Fuentedeprrafopredeter"/>
    <w:uiPriority w:val="99"/>
    <w:semiHidden/>
    <w:unhideWhenUsed/>
    <w:rsid w:val="00056DA0"/>
    <w:rPr>
      <w:color w:val="0000FF"/>
      <w:u w:val="single"/>
    </w:rPr>
  </w:style>
  <w:style w:type="character" w:styleId="Textoennegrita">
    <w:name w:val="Strong"/>
    <w:basedOn w:val="Fuentedeprrafopredeter"/>
    <w:uiPriority w:val="22"/>
    <w:qFormat/>
    <w:rsid w:val="00056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270776">
      <w:bodyDiv w:val="1"/>
      <w:marLeft w:val="0"/>
      <w:marRight w:val="0"/>
      <w:marTop w:val="0"/>
      <w:marBottom w:val="0"/>
      <w:divBdr>
        <w:top w:val="none" w:sz="0" w:space="0" w:color="auto"/>
        <w:left w:val="none" w:sz="0" w:space="0" w:color="auto"/>
        <w:bottom w:val="none" w:sz="0" w:space="0" w:color="auto"/>
        <w:right w:val="none" w:sz="0" w:space="0" w:color="auto"/>
      </w:divBdr>
    </w:div>
    <w:div w:id="19940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0107" TargetMode="External"/><Relationship Id="rId3" Type="http://schemas.openxmlformats.org/officeDocument/2006/relationships/webSettings" Target="webSettings.xml"/><Relationship Id="rId7" Type="http://schemas.openxmlformats.org/officeDocument/2006/relationships/hyperlink" Target="http://www.alcaldiabogota.gov.co/sisjur/normas/Norma1.jsp?i=431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caldiabogota.gov.co/sisjur/normas/Norma1.jsp?i=43101" TargetMode="External"/><Relationship Id="rId5" Type="http://schemas.openxmlformats.org/officeDocument/2006/relationships/hyperlink" Target="http://www.alcaldiabogota.gov.co/sisjur/normas/Norma1.jsp?i=38496" TargetMode="External"/><Relationship Id="rId10" Type="http://schemas.openxmlformats.org/officeDocument/2006/relationships/theme" Target="theme/theme1.xml"/><Relationship Id="rId4" Type="http://schemas.openxmlformats.org/officeDocument/2006/relationships/hyperlink" Target="http://www.alcaldiabogota.gov.co/sisjur/normas/Norma1.jsp?i=54811"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4184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López</dc:creator>
  <cp:keywords/>
  <dc:description/>
  <cp:lastModifiedBy>Norma López</cp:lastModifiedBy>
  <cp:revision>2</cp:revision>
  <dcterms:created xsi:type="dcterms:W3CDTF">2015-03-02T15:10:00Z</dcterms:created>
  <dcterms:modified xsi:type="dcterms:W3CDTF">2015-03-02T15:11:00Z</dcterms:modified>
</cp:coreProperties>
</file>