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57" w:rsidRDefault="00591857" w:rsidP="00591857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TITULO. IV</w:t>
      </w:r>
    </w:p>
    <w:p w:rsidR="00591857" w:rsidRDefault="00591857" w:rsidP="00591857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PROMOCION AL ACCESO Y USO DE LAS TECNOLOGIAS DE LA INFORMACION Y LAS COMUNICACIONES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 </w:t>
      </w:r>
      <w:bookmarkStart w:id="0" w:name="34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34. Naturaleza y objeto del Fondo de Tecnologías de la Información y las Comunicaciones.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Fondo de Comunicaciones de que trata el Decreto 129 de 1976, en adelante se denominará Fondo de Tecnologías de la Información y las Comunicaciones, como una Unidad Administrativa Especial del orden nacional, dotado de personería jurídica y patrimonio propio, adscrita al Ministerio de Tecnologías de la Información y las Comunicaciones.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 objeto del Fondo es financiar los planes, programas y proyectos para facilitar prioritariamente el acceso universal, y del servicio universal cuando haya lugar a ello, de todos los habitantes del territorio nacional a las Tecnologías de la Información y las Comunicaciones, así como apoyar las actividades del Ministerio y la Agencia Nacional Espectro, y el mejoramiento de su capacidad administrativa, técnica y operativa para el cumplimiento de sus funciones.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 </w:t>
      </w:r>
      <w:bookmarkStart w:id="1" w:name="35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bookmarkEnd w:id="1"/>
      <w:r>
        <w:rPr>
          <w:rFonts w:ascii="Arial" w:hAnsi="Arial" w:cs="Arial"/>
          <w:b/>
          <w:bCs/>
          <w:color w:val="000000"/>
          <w:sz w:val="27"/>
          <w:szCs w:val="27"/>
        </w:rPr>
        <w:t>35. Funciones del Fondo de Tecnologías de la Información y las Comunicaciones.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Fondo de Tecnologías de la Información y las Comunicaciones tendrá las siguientes funciones: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Financiar planes, programas y proyectos para promover prioritariamente el acceso universal, y del servicio universal cuando haya lugar a ello, a las Tecnologías de la información y las Comunicaciones en los segmentos de población de menores ingresos.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Financiar planes, programas y proyectos para promover la investigación, el desarrollo y la innovación de las Tecnologías de Información y las Comunicaciones dando prioridad al desarrollo de contenidos.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Financiar planes, programas y proyectos para promover el acceso de los ciudadanos a servicios, contenidos y aplicaciones que usen Tecnologías de la Información y las Comunicaciones y para la masificación del Gobierno en Línea.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 Financiar y establecer planes, programas y proyectos que permitan masificar el uso y apropiación de Tecnologías de la Información y las Comunicaciones.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Apoyar económicamente las actividades del Ministerio de Tecnologías de la Información y las Comunicaciones y de la Agencia Nacional de Espectro, en el mejoramiento de su capacidad administrativa, técnica y operativa para el cumplimiento de sus funciones.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Financiar planes, programas y proyectos para promover el acceso de los ciudadanos con limitaciones físicas a las Tecnologías de la Información y las Comunicaciones.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Rendir informes técnicos y estadísticos en los temas de su competencia.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Realizar auditorías y estudios de impacto de las Tecnologías de la Información y las Comunicaciones en las comunidades, para verificar la eficiencia en la utilización de los recursos asignados.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 Fondo de Tecnologías de la Información y las Comunicaciones asignará los recursos para sus planes, programas y proyectos de manera competitiva y asegurando que se apliquen criterios de costos eficientes, de modo que se cumpla con las metas establecidas en los planes de desarrollo.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 </w:t>
      </w:r>
      <w:bookmarkStart w:id="2" w:name="36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bookmarkEnd w:id="2"/>
      <w:r>
        <w:rPr>
          <w:rFonts w:ascii="Arial" w:hAnsi="Arial" w:cs="Arial"/>
          <w:b/>
          <w:bCs/>
          <w:color w:val="000000"/>
          <w:sz w:val="27"/>
          <w:szCs w:val="27"/>
        </w:rPr>
        <w:t>36. Contraprestación periódica a favor del Fondo de Tecnologías de la Información y las Comunicaciones.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hyperlink r:id="rId4" w:anchor="0" w:history="1">
        <w:r>
          <w:rPr>
            <w:rStyle w:val="Hipervnculo"/>
            <w:rFonts w:ascii="Arial" w:hAnsi="Arial" w:cs="Arial"/>
            <w:sz w:val="27"/>
            <w:szCs w:val="27"/>
          </w:rPr>
          <w:t>Reglamentado por el Decreto Nacional 542 de 2014</w:t>
        </w:r>
      </w:hyperlink>
      <w:r>
        <w:rPr>
          <w:rFonts w:ascii="Arial" w:hAnsi="Arial" w:cs="Arial"/>
          <w:color w:val="000000"/>
          <w:sz w:val="27"/>
          <w:szCs w:val="27"/>
        </w:rPr>
        <w:t>. Todos los proveedores de redes y servicios de Telecomunicaciones pagarán la contraprestación periódica estipulada en el artículo 10 de la presente ley al Fondo de Tecnologías de la Información y las Comunicaciones en igualdad de condiciones para el cumplimiento de sus fines.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 valor de la contraprestación a cargo de los proveedores, se fijará como un mismo porcentaje sobre sus ingresos brutos por concepto de la provisión de sus redes y servicios, excluyendo terminales.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Parágrafo.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Ministerio de Tecnologías de la Información y las Comunicaciones reglamentará lo pertinente, previa la realización de un estudio, en un término máximo de seis (6) meses contados a partir de la promulgación de la presente ley.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5" w:anchor="0" w:history="1">
        <w:r>
          <w:rPr>
            <w:rStyle w:val="Hipervnculo"/>
            <w:rFonts w:ascii="Arial" w:hAnsi="Arial" w:cs="Arial"/>
            <w:sz w:val="27"/>
            <w:szCs w:val="27"/>
          </w:rPr>
          <w:t>Ver el Decreto Nacional 1161 de 2010</w:t>
        </w:r>
      </w:hyperlink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anchor="58" w:history="1">
        <w:r>
          <w:rPr>
            <w:rStyle w:val="Hipervnculo"/>
            <w:rFonts w:ascii="Arial" w:hAnsi="Arial" w:cs="Arial"/>
            <w:sz w:val="27"/>
            <w:szCs w:val="27"/>
          </w:rPr>
          <w:t>Ver el art. 58, Ley 1450 de 2011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 37. Otros recursos del Fondo de Tecnologías de la Información y las Comunicaciones.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Además de lo señalado en el artículo anterior, son recursos del Fondo de Tecnologías de la Información y las Comunicaciones: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La contraprestación económica por la utilización del espectro radioeléctrico, así como de sus respectivas renovaciones, modificaciones y de otras actuaciones a cargo del Ministerio de Tecnologías de la Información y las Comunicaciones.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Las multas y otras sanciones pecuniarias impuestas por el Ministerio de Tecnologías de la Información y las Comunicaciones y la Agencia Nacional del Espectro a proveedores de redes y servicios de comunicaciones.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El monto de los intereses sobre obligaciones a su favor.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Los rendimientos financieros obtenidos como consecuencia de las inversiones realizadas con sus propios recursos, de conformidad con las disposiciones legales y reglamentarias sobre la materia.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Los demás ingresos que reciba a cualquier título, así como el producto o fruto de sus bienes.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Los que se destinen en el presupuesto nacional, los cuales deberán ser crecientes para garantizar el acceso universal, a las TIC.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Las sumas que perciba el Estado como consecuencia de la explotación directa o indirecta del ccTLD.co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Los demás que le asigne la ley.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 38. Masificación del uso de las TIC y cierre de la brecha digital.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Ministerio de Tecnologías de la Información y las Comunicaciones, revisará, estudiará e implementará estrategias para la masificación de la conectividad, buscando sistemas que permitan llegar a las regiones más apartadas del país y que motiven a todos los ciudadanos a hacer uso de las TIC.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Parágrafo.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Las autoridades territoriales implementarán los mecanismos a su alcance para gestionar recursos a nivel nacional e internacional, para apoyar la masificación de las TIC, en sus respetivas jurisdicciones.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 39. Articulación del plan de TIC.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Ministerio de Tecnologías de la Información y las Comunicaciones coordinará la articulación del Plan de TIC, con el Plan de Educación y los demás planes sectoriales, para facilitar la concatenación de las acciones, eficiencia en la utilización de los recursos y avanzar hacia los mismos objetivos.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Apoyará al Ministerio de Educación Nacional para: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Fomentar el emprendimiento en TIC, desde los establecimientos educativos, con alto contenido en innovación.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Poner en marcha un Sistema Nacional de alfabetización digital.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Capacitar en TIC a docentes de todos los niveles.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Incluir la cátedra de TIC en todo el sistema educativo, desde la infancia.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Ejercer mayor control en los cafés Internet para seguridad de los niños.</w:t>
      </w:r>
    </w:p>
    <w:p w:rsidR="00591857" w:rsidRDefault="00591857" w:rsidP="0059185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Artículo 40.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Telesalud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El Ministerio de Tecnologías de la Información y las Comunicaciones, apoyará el desarrollo de 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Telesalud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 Colombia, con recursos del Fondo de las TIC y llevando la conectividad a los sitios estratégicos para la prestación de servicios por esta modalidad, a los territorios apartados de Colombia.</w:t>
      </w:r>
    </w:p>
    <w:p w:rsidR="001D7294" w:rsidRDefault="001D7294">
      <w:bookmarkStart w:id="3" w:name="_GoBack"/>
      <w:bookmarkEnd w:id="3"/>
    </w:p>
    <w:sectPr w:rsidR="001D7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57"/>
    <w:rsid w:val="001D7294"/>
    <w:rsid w:val="005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4435E5-0AF4-4933-948C-36C755EE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91857"/>
  </w:style>
  <w:style w:type="character" w:styleId="Hipervnculo">
    <w:name w:val="Hyperlink"/>
    <w:basedOn w:val="Fuentedeprrafopredeter"/>
    <w:uiPriority w:val="99"/>
    <w:semiHidden/>
    <w:unhideWhenUsed/>
    <w:rsid w:val="0059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diabogota.gov.co/sisjur/normas/Norma1.jsp?i=43101" TargetMode="External"/><Relationship Id="rId5" Type="http://schemas.openxmlformats.org/officeDocument/2006/relationships/hyperlink" Target="http://www.alcaldiabogota.gov.co/sisjur/normas/Norma1.jsp?i=39324" TargetMode="External"/><Relationship Id="rId4" Type="http://schemas.openxmlformats.org/officeDocument/2006/relationships/hyperlink" Target="http://www.alcaldiabogota.gov.co/sisjur/normas/Norma1.jsp?i=57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2015-03-02T15:04:00Z</dcterms:created>
  <dcterms:modified xsi:type="dcterms:W3CDTF">2015-03-02T15:04:00Z</dcterms:modified>
</cp:coreProperties>
</file>