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5884"/>
      </w:tblGrid>
      <w:tr w:rsidR="00D417F3" w:rsidRPr="00D417F3" w:rsidTr="00D417F3">
        <w:trPr>
          <w:tblCellSpacing w:w="0" w:type="dxa"/>
        </w:trPr>
        <w:tc>
          <w:tcPr>
            <w:tcW w:w="0" w:type="auto"/>
            <w:vAlign w:val="center"/>
            <w:hideMark/>
          </w:tcPr>
          <w:p w:rsidR="00D417F3" w:rsidRPr="00D417F3" w:rsidRDefault="00D417F3" w:rsidP="00D417F3">
            <w:pPr>
              <w:spacing w:after="0" w:line="240" w:lineRule="auto"/>
              <w:rPr>
                <w:rFonts w:ascii="Times New Roman" w:eastAsia="Times New Roman" w:hAnsi="Times New Roman" w:cs="Times New Roman"/>
                <w:color w:val="000000"/>
                <w:sz w:val="27"/>
                <w:szCs w:val="27"/>
                <w:lang w:eastAsia="es-ES"/>
              </w:rPr>
            </w:pPr>
            <w:r w:rsidRPr="00D417F3">
              <w:rPr>
                <w:rFonts w:ascii="Verdana" w:eastAsia="Times New Roman" w:hAnsi="Verdana" w:cs="Times New Roman"/>
                <w:color w:val="FB4831"/>
                <w:sz w:val="33"/>
                <w:szCs w:val="33"/>
                <w:lang w:eastAsia="es-ES"/>
              </w:rPr>
              <w:t>Impuesto sobre Bienes Inmuebles:</w:t>
            </w:r>
            <w:r w:rsidRPr="00D417F3">
              <w:rPr>
                <w:rFonts w:ascii="Times New Roman" w:eastAsia="Times New Roman" w:hAnsi="Times New Roman" w:cs="Times New Roman"/>
                <w:color w:val="000000"/>
                <w:sz w:val="27"/>
                <w:szCs w:val="27"/>
                <w:lang w:eastAsia="es-ES"/>
              </w:rPr>
              <w:t> </w:t>
            </w:r>
          </w:p>
        </w:tc>
      </w:tr>
    </w:tbl>
    <w:p w:rsidR="00D417F3" w:rsidRPr="00D417F3" w:rsidRDefault="00D417F3" w:rsidP="00D417F3">
      <w:pPr>
        <w:spacing w:before="100" w:beforeAutospacing="1" w:after="270" w:line="360" w:lineRule="atLeast"/>
        <w:jc w:val="both"/>
        <w:rPr>
          <w:rFonts w:ascii="Arial" w:eastAsia="Times New Roman" w:hAnsi="Arial" w:cs="Arial"/>
          <w:color w:val="56595C"/>
          <w:sz w:val="27"/>
          <w:szCs w:val="27"/>
          <w:lang w:eastAsia="es-ES"/>
        </w:rPr>
      </w:pPr>
      <w:r w:rsidRPr="00D417F3">
        <w:rPr>
          <w:rFonts w:ascii="Arial" w:eastAsia="Times New Roman" w:hAnsi="Arial" w:cs="Arial"/>
          <w:color w:val="56595C"/>
          <w:sz w:val="27"/>
          <w:szCs w:val="27"/>
          <w:lang w:eastAsia="es-ES"/>
        </w:rPr>
        <w:br/>
        <w:t>El Impuesto sobre Bienes Inmuebles (I.B.I.) es un tributo directo de carácter real que grava el valor de los bienes inmuebles.</w:t>
      </w:r>
      <w:r w:rsidRPr="00D417F3">
        <w:rPr>
          <w:rFonts w:ascii="Arial" w:eastAsia="Times New Roman" w:hAnsi="Arial" w:cs="Arial"/>
          <w:color w:val="56595C"/>
          <w:sz w:val="27"/>
          <w:szCs w:val="27"/>
          <w:lang w:eastAsia="es-ES"/>
        </w:rPr>
        <w:br/>
      </w:r>
      <w:r w:rsidRPr="00D417F3">
        <w:rPr>
          <w:rFonts w:ascii="Arial" w:eastAsia="Times New Roman" w:hAnsi="Arial" w:cs="Arial"/>
          <w:color w:val="56595C"/>
          <w:sz w:val="27"/>
          <w:szCs w:val="27"/>
          <w:lang w:eastAsia="es-ES"/>
        </w:rPr>
        <w:br/>
        <w:t>Son sujetos pasivos, a título de contribuyentes, las personas físicas y jurídicas y las entidades, que ostenten la titularidad del derecho que, en cada caso, sea constitutivo del hecho imponible de este impuesto. Son hechos imponibles:</w:t>
      </w:r>
      <w:r w:rsidRPr="00D417F3">
        <w:rPr>
          <w:rFonts w:ascii="Arial" w:eastAsia="Times New Roman" w:hAnsi="Arial" w:cs="Arial"/>
          <w:color w:val="56595C"/>
          <w:sz w:val="27"/>
          <w:szCs w:val="27"/>
          <w:lang w:eastAsia="es-ES"/>
        </w:rPr>
        <w:br/>
        <w:t>- la concesión administrativa sobre los propios inmuebles o sobre los servicios públicos a que se hallen afectos</w:t>
      </w:r>
      <w:r w:rsidRPr="00D417F3">
        <w:rPr>
          <w:rFonts w:ascii="Arial" w:eastAsia="Times New Roman" w:hAnsi="Arial" w:cs="Arial"/>
          <w:color w:val="56595C"/>
          <w:sz w:val="27"/>
          <w:szCs w:val="27"/>
          <w:lang w:eastAsia="es-ES"/>
        </w:rPr>
        <w:br/>
        <w:t>- el derecho real de superficie</w:t>
      </w:r>
      <w:r w:rsidRPr="00D417F3">
        <w:rPr>
          <w:rFonts w:ascii="Arial" w:eastAsia="Times New Roman" w:hAnsi="Arial" w:cs="Arial"/>
          <w:color w:val="56595C"/>
          <w:sz w:val="27"/>
          <w:szCs w:val="27"/>
          <w:lang w:eastAsia="es-ES"/>
        </w:rPr>
        <w:br/>
        <w:t>- el derecho real de usufructo</w:t>
      </w:r>
      <w:r w:rsidRPr="00D417F3">
        <w:rPr>
          <w:rFonts w:ascii="Arial" w:eastAsia="Times New Roman" w:hAnsi="Arial" w:cs="Arial"/>
          <w:color w:val="56595C"/>
          <w:sz w:val="27"/>
          <w:szCs w:val="27"/>
          <w:lang w:eastAsia="es-ES"/>
        </w:rPr>
        <w:br/>
        <w:t>- el derecho de propiedad</w:t>
      </w:r>
      <w:r w:rsidRPr="00D417F3">
        <w:rPr>
          <w:rFonts w:ascii="Arial" w:eastAsia="Times New Roman" w:hAnsi="Arial" w:cs="Arial"/>
          <w:color w:val="56595C"/>
          <w:sz w:val="27"/>
          <w:szCs w:val="27"/>
          <w:lang w:eastAsia="es-ES"/>
        </w:rPr>
        <w:br/>
      </w:r>
      <w:r w:rsidRPr="00D417F3">
        <w:rPr>
          <w:rFonts w:ascii="Arial" w:eastAsia="Times New Roman" w:hAnsi="Arial" w:cs="Arial"/>
          <w:color w:val="56595C"/>
          <w:sz w:val="27"/>
          <w:szCs w:val="27"/>
          <w:lang w:eastAsia="es-ES"/>
        </w:rPr>
        <w:br/>
        <w:t>Se presentará en el Centro de Gestión Catastral y Cooperación Tributaria de la Delegación de Hacienda que corresponda. La liquidación y recaudación serán competencia exclusiva de los Ayuntamientos.</w:t>
      </w:r>
      <w:r w:rsidRPr="00D417F3">
        <w:rPr>
          <w:rFonts w:ascii="Arial" w:eastAsia="Times New Roman" w:hAnsi="Arial" w:cs="Arial"/>
          <w:color w:val="56595C"/>
          <w:sz w:val="27"/>
          <w:szCs w:val="27"/>
          <w:lang w:eastAsia="es-ES"/>
        </w:rPr>
        <w:br/>
      </w:r>
      <w:r w:rsidRPr="00D417F3">
        <w:rPr>
          <w:rFonts w:ascii="Arial" w:eastAsia="Times New Roman" w:hAnsi="Arial" w:cs="Arial"/>
          <w:color w:val="56595C"/>
          <w:sz w:val="27"/>
          <w:szCs w:val="27"/>
          <w:lang w:eastAsia="es-ES"/>
        </w:rPr>
        <w:br/>
        <w:t>La documentación necesaria para todos los casos es:</w:t>
      </w:r>
      <w:r w:rsidRPr="00D417F3">
        <w:rPr>
          <w:rFonts w:ascii="Arial" w:eastAsia="Times New Roman" w:hAnsi="Arial" w:cs="Arial"/>
          <w:color w:val="56595C"/>
          <w:sz w:val="27"/>
          <w:szCs w:val="27"/>
          <w:lang w:eastAsia="es-ES"/>
        </w:rPr>
        <w:br/>
        <w:t>- Fotocopia del D.N.I. y del N.I.F. </w:t>
      </w:r>
      <w:r w:rsidRPr="00D417F3">
        <w:rPr>
          <w:rFonts w:ascii="Arial" w:eastAsia="Times New Roman" w:hAnsi="Arial" w:cs="Arial"/>
          <w:color w:val="56595C"/>
          <w:sz w:val="27"/>
          <w:szCs w:val="27"/>
          <w:lang w:eastAsia="es-ES"/>
        </w:rPr>
        <w:br/>
        <w:t>- Documento o escritura que origina la transmisión o alteración catastral. </w:t>
      </w:r>
      <w:r w:rsidRPr="00D417F3">
        <w:rPr>
          <w:rFonts w:ascii="Arial" w:eastAsia="Times New Roman" w:hAnsi="Arial" w:cs="Arial"/>
          <w:color w:val="56595C"/>
          <w:sz w:val="27"/>
          <w:szCs w:val="27"/>
          <w:lang w:eastAsia="es-ES"/>
        </w:rPr>
        <w:br/>
        <w:t>- Fotocopia del último recibo del impuesto, en el caso de que exista. </w:t>
      </w:r>
      <w:r w:rsidRPr="00D417F3">
        <w:rPr>
          <w:rFonts w:ascii="Arial" w:eastAsia="Times New Roman" w:hAnsi="Arial" w:cs="Arial"/>
          <w:color w:val="56595C"/>
          <w:sz w:val="27"/>
          <w:szCs w:val="27"/>
          <w:lang w:eastAsia="es-ES"/>
        </w:rPr>
        <w:br/>
        <w:t>- Modelos 901 (Declaración de alteración de titular catastral de bienes inmuebles de naturaleza urbana) o 902 (Declaración de alteración de bienes inmuebles de naturaleza urbana) según corresponda.</w:t>
      </w:r>
      <w:r w:rsidRPr="00D417F3">
        <w:rPr>
          <w:rFonts w:ascii="Arial" w:eastAsia="Times New Roman" w:hAnsi="Arial" w:cs="Arial"/>
          <w:color w:val="56595C"/>
          <w:sz w:val="27"/>
          <w:szCs w:val="27"/>
          <w:lang w:eastAsia="es-ES"/>
        </w:rPr>
        <w:br/>
      </w:r>
      <w:r w:rsidRPr="00D417F3">
        <w:rPr>
          <w:rFonts w:ascii="Arial" w:eastAsia="Times New Roman" w:hAnsi="Arial" w:cs="Arial"/>
          <w:color w:val="56595C"/>
          <w:sz w:val="27"/>
          <w:szCs w:val="27"/>
          <w:lang w:eastAsia="es-ES"/>
        </w:rPr>
        <w:br/>
        <w:t>Dependiendo de los casos se necesitará documentación adicional.</w:t>
      </w:r>
      <w:r w:rsidRPr="00D417F3">
        <w:rPr>
          <w:rFonts w:ascii="Arial" w:eastAsia="Times New Roman" w:hAnsi="Arial" w:cs="Arial"/>
          <w:color w:val="56595C"/>
          <w:sz w:val="27"/>
          <w:szCs w:val="27"/>
          <w:lang w:eastAsia="es-ES"/>
        </w:rPr>
        <w:br/>
        <w:t>El impuesto se devengará el primer día del período impositivo.</w:t>
      </w:r>
      <w:r w:rsidRPr="00D417F3">
        <w:rPr>
          <w:rFonts w:ascii="Arial" w:eastAsia="Times New Roman" w:hAnsi="Arial" w:cs="Arial"/>
          <w:color w:val="56595C"/>
          <w:sz w:val="27"/>
          <w:szCs w:val="27"/>
          <w:lang w:eastAsia="es-ES"/>
        </w:rPr>
        <w:br/>
        <w:t>El período impositivo coincide con el año natural, excepto cuando se trate de declaraciones de alta, en cuyo caso abarcará desde la fecha de comienzo de la actividad hasta el final del año natural.</w:t>
      </w:r>
    </w:p>
    <w:p w:rsidR="005314C9" w:rsidRPr="006251E6" w:rsidRDefault="005314C9" w:rsidP="006251E6">
      <w:bookmarkStart w:id="0" w:name="_GoBack"/>
      <w:bookmarkEnd w:id="0"/>
    </w:p>
    <w:sectPr w:rsidR="005314C9" w:rsidRPr="00625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6"/>
    <w:rsid w:val="00276BEA"/>
    <w:rsid w:val="004B348F"/>
    <w:rsid w:val="005314C9"/>
    <w:rsid w:val="006251E6"/>
    <w:rsid w:val="0070289B"/>
    <w:rsid w:val="00796F18"/>
    <w:rsid w:val="00A02031"/>
    <w:rsid w:val="00B546F6"/>
    <w:rsid w:val="00B9231F"/>
    <w:rsid w:val="00CB1167"/>
    <w:rsid w:val="00D417F3"/>
    <w:rsid w:val="00D8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169B-3DC5-49B9-B397-D800754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6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546F6"/>
  </w:style>
  <w:style w:type="character" w:styleId="Hipervnculo">
    <w:name w:val="Hyperlink"/>
    <w:basedOn w:val="Fuentedeprrafopredeter"/>
    <w:uiPriority w:val="99"/>
    <w:semiHidden/>
    <w:unhideWhenUsed/>
    <w:rsid w:val="00276BEA"/>
    <w:rPr>
      <w:color w:val="0000FF"/>
      <w:u w:val="single"/>
    </w:rPr>
  </w:style>
  <w:style w:type="character" w:customStyle="1" w:styleId="titulo">
    <w:name w:val="titulo"/>
    <w:basedOn w:val="Fuentedeprrafopredeter"/>
    <w:rsid w:val="004B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5493">
      <w:bodyDiv w:val="1"/>
      <w:marLeft w:val="0"/>
      <w:marRight w:val="0"/>
      <w:marTop w:val="0"/>
      <w:marBottom w:val="0"/>
      <w:divBdr>
        <w:top w:val="none" w:sz="0" w:space="0" w:color="auto"/>
        <w:left w:val="none" w:sz="0" w:space="0" w:color="auto"/>
        <w:bottom w:val="none" w:sz="0" w:space="0" w:color="auto"/>
        <w:right w:val="none" w:sz="0" w:space="0" w:color="auto"/>
      </w:divBdr>
    </w:div>
    <w:div w:id="437144213">
      <w:bodyDiv w:val="1"/>
      <w:marLeft w:val="0"/>
      <w:marRight w:val="0"/>
      <w:marTop w:val="0"/>
      <w:marBottom w:val="0"/>
      <w:divBdr>
        <w:top w:val="none" w:sz="0" w:space="0" w:color="auto"/>
        <w:left w:val="none" w:sz="0" w:space="0" w:color="auto"/>
        <w:bottom w:val="none" w:sz="0" w:space="0" w:color="auto"/>
        <w:right w:val="none" w:sz="0" w:space="0" w:color="auto"/>
      </w:divBdr>
    </w:div>
    <w:div w:id="622228947">
      <w:bodyDiv w:val="1"/>
      <w:marLeft w:val="0"/>
      <w:marRight w:val="0"/>
      <w:marTop w:val="0"/>
      <w:marBottom w:val="0"/>
      <w:divBdr>
        <w:top w:val="none" w:sz="0" w:space="0" w:color="auto"/>
        <w:left w:val="none" w:sz="0" w:space="0" w:color="auto"/>
        <w:bottom w:val="none" w:sz="0" w:space="0" w:color="auto"/>
        <w:right w:val="none" w:sz="0" w:space="0" w:color="auto"/>
      </w:divBdr>
    </w:div>
    <w:div w:id="777917533">
      <w:bodyDiv w:val="1"/>
      <w:marLeft w:val="0"/>
      <w:marRight w:val="0"/>
      <w:marTop w:val="0"/>
      <w:marBottom w:val="0"/>
      <w:divBdr>
        <w:top w:val="none" w:sz="0" w:space="0" w:color="auto"/>
        <w:left w:val="none" w:sz="0" w:space="0" w:color="auto"/>
        <w:bottom w:val="none" w:sz="0" w:space="0" w:color="auto"/>
        <w:right w:val="none" w:sz="0" w:space="0" w:color="auto"/>
      </w:divBdr>
    </w:div>
    <w:div w:id="854078454">
      <w:bodyDiv w:val="1"/>
      <w:marLeft w:val="0"/>
      <w:marRight w:val="0"/>
      <w:marTop w:val="0"/>
      <w:marBottom w:val="0"/>
      <w:divBdr>
        <w:top w:val="none" w:sz="0" w:space="0" w:color="auto"/>
        <w:left w:val="none" w:sz="0" w:space="0" w:color="auto"/>
        <w:bottom w:val="none" w:sz="0" w:space="0" w:color="auto"/>
        <w:right w:val="none" w:sz="0" w:space="0" w:color="auto"/>
      </w:divBdr>
    </w:div>
    <w:div w:id="1086918129">
      <w:bodyDiv w:val="1"/>
      <w:marLeft w:val="0"/>
      <w:marRight w:val="0"/>
      <w:marTop w:val="0"/>
      <w:marBottom w:val="0"/>
      <w:divBdr>
        <w:top w:val="none" w:sz="0" w:space="0" w:color="auto"/>
        <w:left w:val="none" w:sz="0" w:space="0" w:color="auto"/>
        <w:bottom w:val="none" w:sz="0" w:space="0" w:color="auto"/>
        <w:right w:val="none" w:sz="0" w:space="0" w:color="auto"/>
      </w:divBdr>
    </w:div>
    <w:div w:id="1284799664">
      <w:bodyDiv w:val="1"/>
      <w:marLeft w:val="0"/>
      <w:marRight w:val="0"/>
      <w:marTop w:val="0"/>
      <w:marBottom w:val="0"/>
      <w:divBdr>
        <w:top w:val="none" w:sz="0" w:space="0" w:color="auto"/>
        <w:left w:val="none" w:sz="0" w:space="0" w:color="auto"/>
        <w:bottom w:val="none" w:sz="0" w:space="0" w:color="auto"/>
        <w:right w:val="none" w:sz="0" w:space="0" w:color="auto"/>
      </w:divBdr>
    </w:div>
    <w:div w:id="1334066745">
      <w:bodyDiv w:val="1"/>
      <w:marLeft w:val="0"/>
      <w:marRight w:val="0"/>
      <w:marTop w:val="0"/>
      <w:marBottom w:val="0"/>
      <w:divBdr>
        <w:top w:val="none" w:sz="0" w:space="0" w:color="auto"/>
        <w:left w:val="none" w:sz="0" w:space="0" w:color="auto"/>
        <w:bottom w:val="none" w:sz="0" w:space="0" w:color="auto"/>
        <w:right w:val="none" w:sz="0" w:space="0" w:color="auto"/>
      </w:divBdr>
    </w:div>
    <w:div w:id="1349259585">
      <w:bodyDiv w:val="1"/>
      <w:marLeft w:val="0"/>
      <w:marRight w:val="0"/>
      <w:marTop w:val="0"/>
      <w:marBottom w:val="0"/>
      <w:divBdr>
        <w:top w:val="none" w:sz="0" w:space="0" w:color="auto"/>
        <w:left w:val="none" w:sz="0" w:space="0" w:color="auto"/>
        <w:bottom w:val="none" w:sz="0" w:space="0" w:color="auto"/>
        <w:right w:val="none" w:sz="0" w:space="0" w:color="auto"/>
      </w:divBdr>
    </w:div>
    <w:div w:id="1714377527">
      <w:bodyDiv w:val="1"/>
      <w:marLeft w:val="0"/>
      <w:marRight w:val="0"/>
      <w:marTop w:val="0"/>
      <w:marBottom w:val="0"/>
      <w:divBdr>
        <w:top w:val="none" w:sz="0" w:space="0" w:color="auto"/>
        <w:left w:val="none" w:sz="0" w:space="0" w:color="auto"/>
        <w:bottom w:val="none" w:sz="0" w:space="0" w:color="auto"/>
        <w:right w:val="none" w:sz="0" w:space="0" w:color="auto"/>
      </w:divBdr>
    </w:div>
    <w:div w:id="18187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dcterms:created xsi:type="dcterms:W3CDTF">2015-11-29T21:05:00Z</dcterms:created>
  <dcterms:modified xsi:type="dcterms:W3CDTF">2015-11-29T21:05:00Z</dcterms:modified>
</cp:coreProperties>
</file>