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F" w:rsidRPr="008628F0" w:rsidRDefault="004E2EEF" w:rsidP="004E2EE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628F0">
        <w:rPr>
          <w:rFonts w:ascii="Times New Roman" w:hAnsi="Times New Roman" w:cs="Times New Roman"/>
          <w:sz w:val="24"/>
          <w:szCs w:val="24"/>
        </w:rPr>
        <w:t xml:space="preserve">Sistema informático subyacente: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628F0">
        <w:rPr>
          <w:rFonts w:ascii="Times New Roman" w:hAnsi="Times New Roman" w:cs="Times New Roman"/>
          <w:sz w:val="24"/>
          <w:szCs w:val="24"/>
        </w:rPr>
        <w:t>En el que se ejecuta, en particular por aspectos de la arquitectura de la computadora como la conexión en red, el paralelismo y la distribución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628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id w:val="2123961553"/>
          <w:citation/>
        </w:sdtPr>
        <w:sdtContent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begin"/>
          </w:r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instrText xml:space="preserve">CITATION Bel98 \p 445 \l 2058 </w:instrText>
          </w:r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</w:rPr>
            <w:t>(Silberschatz, 2002, pág. 445)</w:t>
          </w:r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end"/>
          </w:r>
        </w:sdtContent>
      </w:sdt>
      <w:r w:rsidRPr="007268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0A406E" w:rsidRDefault="000A406E">
      <w:bookmarkStart w:id="0" w:name="_GoBack"/>
      <w:bookmarkEnd w:id="0"/>
    </w:p>
    <w:sectPr w:rsidR="000A4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F"/>
    <w:rsid w:val="000A406E"/>
    <w:rsid w:val="004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2017-02-21T22:21:00Z</dcterms:created>
  <dcterms:modified xsi:type="dcterms:W3CDTF">2017-02-21T22:21:00Z</dcterms:modified>
</cp:coreProperties>
</file>