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B" w:rsidRDefault="00D20F8B" w:rsidP="00D20F8B">
      <w:pPr>
        <w:pStyle w:val="Ttulo1"/>
        <w:rPr>
          <w:lang w:val="es-MX"/>
        </w:rPr>
      </w:pPr>
      <w:r>
        <w:rPr>
          <w:lang w:val="es-MX"/>
        </w:rPr>
        <w:t>INDICADORES</w:t>
      </w:r>
    </w:p>
    <w:p w:rsidR="00395418" w:rsidRPr="00395418" w:rsidRDefault="00395418" w:rsidP="00395418">
      <w:pPr>
        <w:rPr>
          <w:lang w:val="es-MX"/>
        </w:rPr>
      </w:pPr>
    </w:p>
    <w:p w:rsidR="009C25E8" w:rsidRPr="00737044" w:rsidRDefault="00687182" w:rsidP="004332B7">
      <w:pPr>
        <w:pStyle w:val="Ttulo3"/>
        <w:rPr>
          <w:lang w:val="es-MX"/>
        </w:rPr>
      </w:pPr>
      <w:r>
        <w:rPr>
          <w:u w:val="single"/>
          <w:lang w:val="es-MX"/>
        </w:rPr>
        <w:t>TERCER</w:t>
      </w:r>
      <w:r w:rsidR="00737044" w:rsidRPr="00471689">
        <w:rPr>
          <w:u w:val="single"/>
          <w:lang w:val="es-MX"/>
        </w:rPr>
        <w:t xml:space="preserve">  INDICADOR</w:t>
      </w:r>
      <w:r w:rsidR="00737044" w:rsidRPr="00737044">
        <w:rPr>
          <w:lang w:val="es-MX"/>
        </w:rPr>
        <w:t xml:space="preserve">) </w:t>
      </w:r>
      <w:r w:rsidR="00737044">
        <w:rPr>
          <w:lang w:val="es-MX"/>
        </w:rPr>
        <w:t>Alcance de la gestión de fitosanitarios periurbanos</w:t>
      </w:r>
      <w:r w:rsidR="00737044" w:rsidRPr="00737044">
        <w:rPr>
          <w:lang w:val="es-MX"/>
        </w:rPr>
        <w:t>.</w:t>
      </w:r>
    </w:p>
    <w:p w:rsidR="00DC6B70" w:rsidRDefault="00737044" w:rsidP="00737044">
      <w:pPr>
        <w:ind w:left="2124"/>
        <w:rPr>
          <w:lang w:val="es-MX"/>
        </w:rPr>
      </w:pPr>
      <w:r w:rsidRPr="00646252">
        <w:rPr>
          <w:rStyle w:val="Ttulo4Car"/>
        </w:rPr>
        <w:t>Descripción:</w:t>
      </w:r>
      <w:r>
        <w:rPr>
          <w:lang w:val="es-MX"/>
        </w:rPr>
        <w:t xml:space="preserve"> </w:t>
      </w:r>
      <w:r w:rsidR="00DC6B70">
        <w:rPr>
          <w:lang w:val="es-MX"/>
        </w:rPr>
        <w:t xml:space="preserve">el alcance de la gestión valora la amplitud </w:t>
      </w:r>
      <w:r w:rsidR="00732216">
        <w:rPr>
          <w:lang w:val="es-MX"/>
        </w:rPr>
        <w:t xml:space="preserve">(cuántos de los problemas gestionables efectivamente se gestionan) </w:t>
      </w:r>
      <w:r w:rsidR="00DC6B70">
        <w:rPr>
          <w:lang w:val="es-MX"/>
        </w:rPr>
        <w:t xml:space="preserve">y </w:t>
      </w:r>
      <w:r w:rsidR="00732216">
        <w:rPr>
          <w:lang w:val="es-MX"/>
        </w:rPr>
        <w:t xml:space="preserve">la </w:t>
      </w:r>
      <w:r w:rsidR="00DC6B70">
        <w:rPr>
          <w:lang w:val="es-MX"/>
        </w:rPr>
        <w:t>prioridad que la unidad de gestión le da a los diferentes problemas involucrados en el uso de fitosanitarios en el periurbano.</w:t>
      </w:r>
    </w:p>
    <w:p w:rsidR="00766E69" w:rsidRDefault="00DC6B70" w:rsidP="00766E69">
      <w:pPr>
        <w:ind w:left="2124"/>
        <w:rPr>
          <w:lang w:val="es-MX"/>
        </w:rPr>
      </w:pPr>
      <w:r w:rsidRPr="00646252">
        <w:rPr>
          <w:rStyle w:val="Ttulo4Car"/>
        </w:rPr>
        <w:t>Cálculo:</w:t>
      </w:r>
      <w:r w:rsidR="00766E69" w:rsidRPr="00766E69">
        <w:rPr>
          <w:lang w:val="es-MX"/>
        </w:rPr>
        <w:t xml:space="preserve"> </w:t>
      </w:r>
      <w:r w:rsidR="00766E69">
        <w:rPr>
          <w:lang w:val="es-MX"/>
        </w:rPr>
        <w:t xml:space="preserve">Se calcula el valor máximo para el alcance de la gestión. Este deriva del número total de problemas (19) tratados con una prioridad máxima (3). </w:t>
      </w:r>
    </w:p>
    <w:p w:rsidR="00084F15" w:rsidRDefault="00084F15" w:rsidP="00766E69">
      <w:pPr>
        <w:ind w:left="2124"/>
        <w:rPr>
          <w:lang w:val="es-MX"/>
        </w:rPr>
      </w:pPr>
      <w:proofErr w:type="spellStart"/>
      <w:r>
        <w:rPr>
          <w:lang w:val="es-MX"/>
        </w:rPr>
        <w:t>Alcance</w:t>
      </w:r>
      <w:r>
        <w:rPr>
          <w:vertAlign w:val="subscript"/>
          <w:lang w:val="es-MX"/>
        </w:rPr>
        <w:t>máximo</w:t>
      </w:r>
      <w:proofErr w:type="spellEnd"/>
      <w:r>
        <w:rPr>
          <w:lang w:val="es-MX"/>
        </w:rPr>
        <w:t xml:space="preserve">= </w:t>
      </w:r>
      <w:r>
        <w:rPr>
          <w:rFonts w:cstheme="minorHAnsi"/>
          <w:lang w:val="es-MX"/>
        </w:rPr>
        <w:t>Σ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Problema</w:t>
      </w:r>
      <w:r>
        <w:rPr>
          <w:vertAlign w:val="subscript"/>
          <w:lang w:val="es-MX"/>
        </w:rPr>
        <w:t>máximo</w:t>
      </w:r>
      <w:proofErr w:type="spellEnd"/>
      <w:r>
        <w:rPr>
          <w:lang w:val="es-MX"/>
        </w:rPr>
        <w:t xml:space="preserve"> x </w:t>
      </w:r>
      <w:proofErr w:type="spellStart"/>
      <w:r>
        <w:rPr>
          <w:lang w:val="es-MX"/>
        </w:rPr>
        <w:t>Prioridad</w:t>
      </w:r>
      <w:r>
        <w:rPr>
          <w:vertAlign w:val="subscript"/>
          <w:lang w:val="es-MX"/>
        </w:rPr>
        <w:t>máxima</w:t>
      </w:r>
      <w:proofErr w:type="spellEnd"/>
    </w:p>
    <w:p w:rsidR="004F6436" w:rsidRDefault="004F6436" w:rsidP="00766E69">
      <w:pPr>
        <w:ind w:left="2124"/>
        <w:rPr>
          <w:lang w:val="es-MX"/>
        </w:rPr>
      </w:pPr>
      <w:r>
        <w:rPr>
          <w:lang w:val="es-MX"/>
        </w:rPr>
        <w:t>De este modo, el máximo posible es 57.</w:t>
      </w:r>
    </w:p>
    <w:p w:rsidR="000A7365" w:rsidRDefault="00766E69" w:rsidP="00766E69">
      <w:pPr>
        <w:ind w:left="2124"/>
        <w:rPr>
          <w:lang w:val="es-MX"/>
        </w:rPr>
      </w:pPr>
      <w:r>
        <w:rPr>
          <w:lang w:val="es-MX"/>
        </w:rPr>
        <w:t>Luego se calcula el valor de</w:t>
      </w:r>
      <w:r w:rsidR="0007548A">
        <w:rPr>
          <w:lang w:val="es-MX"/>
        </w:rPr>
        <w:t>l</w:t>
      </w:r>
      <w:r>
        <w:rPr>
          <w:lang w:val="es-MX"/>
        </w:rPr>
        <w:t xml:space="preserve"> alcance y prioridad del caso</w:t>
      </w:r>
      <w:r w:rsidR="000A7365">
        <w:rPr>
          <w:lang w:val="es-MX"/>
        </w:rPr>
        <w:t>:</w:t>
      </w:r>
    </w:p>
    <w:p w:rsidR="000A7365" w:rsidRPr="008B12BA" w:rsidRDefault="000A7365" w:rsidP="000A7365">
      <w:pPr>
        <w:ind w:left="2124"/>
        <w:rPr>
          <w:vertAlign w:val="subscript"/>
          <w:lang w:val="es-MX"/>
        </w:rPr>
      </w:pPr>
      <w:r>
        <w:rPr>
          <w:lang w:val="es-MX"/>
        </w:rPr>
        <w:t xml:space="preserve">Valor del caso = </w:t>
      </w:r>
      <w:r>
        <w:rPr>
          <w:rFonts w:cstheme="minorHAnsi"/>
          <w:lang w:val="es-MX"/>
        </w:rPr>
        <w:t>Σ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Problema</w:t>
      </w:r>
      <w:r>
        <w:rPr>
          <w:vertAlign w:val="subscript"/>
          <w:lang w:val="es-MX"/>
        </w:rPr>
        <w:t>caso</w:t>
      </w:r>
      <w:proofErr w:type="spellEnd"/>
      <w:r>
        <w:rPr>
          <w:lang w:val="es-MX"/>
        </w:rPr>
        <w:t xml:space="preserve"> x </w:t>
      </w:r>
      <w:proofErr w:type="spellStart"/>
      <w:r>
        <w:rPr>
          <w:lang w:val="es-MX"/>
        </w:rPr>
        <w:t>Prioridad</w:t>
      </w:r>
      <w:r>
        <w:rPr>
          <w:vertAlign w:val="subscript"/>
          <w:lang w:val="es-MX"/>
        </w:rPr>
        <w:t>caso</w:t>
      </w:r>
      <w:proofErr w:type="spellEnd"/>
    </w:p>
    <w:p w:rsidR="000A7365" w:rsidRDefault="000A7365" w:rsidP="00766E69">
      <w:pPr>
        <w:ind w:left="2124"/>
        <w:rPr>
          <w:lang w:val="es-MX"/>
        </w:rPr>
      </w:pPr>
      <w:r>
        <w:rPr>
          <w:lang w:val="es-MX"/>
        </w:rPr>
        <w:t xml:space="preserve">Finalmente, </w:t>
      </w:r>
      <w:r w:rsidR="00732216">
        <w:rPr>
          <w:lang w:val="es-MX"/>
        </w:rPr>
        <w:t xml:space="preserve">se calcula </w:t>
      </w:r>
      <w:r>
        <w:rPr>
          <w:lang w:val="es-MX"/>
        </w:rPr>
        <w:t xml:space="preserve">el alcance del caso </w:t>
      </w:r>
      <w:r w:rsidR="00A00633">
        <w:rPr>
          <w:lang w:val="es-MX"/>
        </w:rPr>
        <w:t>en una escala de 1 a 10</w:t>
      </w:r>
      <w:r>
        <w:rPr>
          <w:lang w:val="es-MX"/>
        </w:rPr>
        <w:t>:</w:t>
      </w:r>
    </w:p>
    <w:p w:rsidR="000A7365" w:rsidRDefault="001C197D" w:rsidP="00766E69">
      <w:pPr>
        <w:ind w:left="2124"/>
        <w:rPr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Alcance</m:t>
              </m:r>
            </m:e>
            <m:sub>
              <m:r>
                <w:rPr>
                  <w:rFonts w:ascii="Cambria Math" w:hAnsi="Cambria Math"/>
                  <w:lang w:val="es-MX"/>
                </w:rPr>
                <m:t>caso</m:t>
              </m:r>
            </m:sub>
          </m:sSub>
          <m:r>
            <w:rPr>
              <w:rFonts w:ascii="Cambria Math" w:hAnsi="Cambria Math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Valor del caso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Alcance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máximo</m:t>
                  </m:r>
                </m:sub>
              </m:sSub>
            </m:den>
          </m:f>
          <m:r>
            <w:rPr>
              <w:rFonts w:ascii="Cambria Math" w:hAnsi="Cambria Math"/>
              <w:lang w:val="es-MX"/>
            </w:rPr>
            <m:t>×10</m:t>
          </m:r>
        </m:oMath>
      </m:oMathPara>
    </w:p>
    <w:p w:rsidR="00766E69" w:rsidRDefault="00977CE7" w:rsidP="00766E69">
      <w:pPr>
        <w:ind w:left="2124"/>
        <w:rPr>
          <w:lang w:val="es-MX"/>
        </w:rPr>
      </w:pPr>
      <w:r>
        <w:rPr>
          <w:lang w:val="es-MX"/>
        </w:rPr>
        <w:t>Para el caso que se viene desarrollando:</w:t>
      </w:r>
    </w:p>
    <w:p w:rsidR="00977CE7" w:rsidRDefault="00977CE7" w:rsidP="00977CE7">
      <w:pPr>
        <w:ind w:left="2124"/>
        <w:rPr>
          <w:lang w:val="es-MX"/>
        </w:rPr>
      </w:pPr>
      <w:r>
        <w:rPr>
          <w:lang w:val="es-MX"/>
        </w:rPr>
        <w:t>Alcance máximo = 57</w:t>
      </w:r>
      <w:r>
        <w:rPr>
          <w:lang w:val="es-MX"/>
        </w:rPr>
        <w:br/>
        <w:t>Valor del caso= 9</w:t>
      </w:r>
      <w:r>
        <w:rPr>
          <w:lang w:val="es-MX"/>
        </w:rPr>
        <w:br/>
        <w:t xml:space="preserve">Alcance del caso= </w:t>
      </w:r>
      <m:oMath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MX"/>
                  </w:rPr>
                </m:ctrlPr>
              </m:fPr>
              <m:num>
                <m:r>
                  <w:rPr>
                    <w:rFonts w:ascii="Cambria Math" w:hAnsi="Cambria Math"/>
                    <w:lang w:val="es-MX"/>
                  </w:rPr>
                  <m:t>9</m:t>
                </m:r>
              </m:num>
              <m:den>
                <m:r>
                  <w:rPr>
                    <w:rFonts w:ascii="Cambria Math" w:hAnsi="Cambria Math"/>
                    <w:lang w:val="es-MX"/>
                  </w:rPr>
                  <m:t>57</m:t>
                </m:r>
              </m:den>
            </m:f>
          </m:e>
        </m:d>
        <m:r>
          <w:rPr>
            <w:rFonts w:ascii="Cambria Math" w:hAnsi="Cambria Math"/>
            <w:lang w:val="es-MX"/>
          </w:rPr>
          <m:t>×10=1,6</m:t>
        </m:r>
      </m:oMath>
    </w:p>
    <w:p w:rsidR="000A7365" w:rsidRDefault="00977CE7" w:rsidP="00766E69">
      <w:pPr>
        <w:ind w:left="2124"/>
        <w:rPr>
          <w:lang w:val="es-MX"/>
        </w:rPr>
      </w:pPr>
      <w:r>
        <w:rPr>
          <w:lang w:val="es-MX"/>
        </w:rPr>
        <w:t>Nominalmente:</w:t>
      </w:r>
    </w:p>
    <w:tbl>
      <w:tblPr>
        <w:tblStyle w:val="Tablaconcuadrcula"/>
        <w:tblW w:w="0" w:type="auto"/>
        <w:jc w:val="center"/>
        <w:tblInd w:w="2124" w:type="dxa"/>
        <w:tblLook w:val="04A0" w:firstRow="1" w:lastRow="0" w:firstColumn="1" w:lastColumn="0" w:noHBand="0" w:noVBand="1"/>
      </w:tblPr>
      <w:tblGrid>
        <w:gridCol w:w="1882"/>
        <w:gridCol w:w="1792"/>
      </w:tblGrid>
      <w:tr w:rsidR="00977CE7" w:rsidTr="004A50AD">
        <w:trPr>
          <w:jc w:val="center"/>
        </w:trPr>
        <w:tc>
          <w:tcPr>
            <w:tcW w:w="0" w:type="auto"/>
            <w:gridSpan w:val="2"/>
            <w:vAlign w:val="center"/>
          </w:tcPr>
          <w:p w:rsidR="00977CE7" w:rsidRDefault="00DB7CF5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Alcance</w:t>
            </w:r>
            <w:r w:rsidR="00977CE7">
              <w:rPr>
                <w:b/>
                <w:lang w:val="es-MX"/>
              </w:rPr>
              <w:t xml:space="preserve"> de la gestión de fitosanitarios</w:t>
            </w:r>
          </w:p>
        </w:tc>
      </w:tr>
      <w:tr w:rsidR="00DB7CF5" w:rsidTr="004A50AD">
        <w:trPr>
          <w:jc w:val="center"/>
        </w:trPr>
        <w:tc>
          <w:tcPr>
            <w:tcW w:w="0" w:type="auto"/>
          </w:tcPr>
          <w:p w:rsidR="00977CE7" w:rsidRDefault="00977CE7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Valor</w:t>
            </w:r>
          </w:p>
        </w:tc>
        <w:tc>
          <w:tcPr>
            <w:tcW w:w="0" w:type="auto"/>
          </w:tcPr>
          <w:p w:rsidR="00977CE7" w:rsidRDefault="00977CE7" w:rsidP="004A50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Prioridad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= 10</w:t>
            </w:r>
          </w:p>
        </w:tc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MUY </w:t>
            </w:r>
            <w:r w:rsidR="00732216">
              <w:rPr>
                <w:lang w:val="es-MX"/>
              </w:rPr>
              <w:t>ALTO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10 a &gt;= 8</w:t>
            </w:r>
          </w:p>
        </w:tc>
        <w:tc>
          <w:tcPr>
            <w:tcW w:w="0" w:type="auto"/>
          </w:tcPr>
          <w:p w:rsidR="00687182" w:rsidRPr="00EB3A36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ALTO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Pr="00EB3A36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8 a &gt;=  6</w:t>
            </w:r>
          </w:p>
        </w:tc>
        <w:tc>
          <w:tcPr>
            <w:tcW w:w="0" w:type="auto"/>
          </w:tcPr>
          <w:p w:rsidR="00687182" w:rsidRPr="00EB3A36" w:rsidRDefault="00687182" w:rsidP="0073221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</w:t>
            </w:r>
            <w:r w:rsidR="00732216">
              <w:rPr>
                <w:lang w:val="es-MX"/>
              </w:rPr>
              <w:t>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6 a &gt;= 4</w:t>
            </w:r>
          </w:p>
        </w:tc>
        <w:tc>
          <w:tcPr>
            <w:tcW w:w="0" w:type="auto"/>
          </w:tcPr>
          <w:p w:rsidR="00687182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BAJO</w:t>
            </w:r>
          </w:p>
        </w:tc>
      </w:tr>
      <w:tr w:rsidR="00687182" w:rsidTr="004A50AD">
        <w:trPr>
          <w:jc w:val="center"/>
        </w:trPr>
        <w:tc>
          <w:tcPr>
            <w:tcW w:w="0" w:type="auto"/>
          </w:tcPr>
          <w:p w:rsidR="00687182" w:rsidRDefault="00687182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&lt;  4 a &gt;= 1</w:t>
            </w:r>
          </w:p>
        </w:tc>
        <w:tc>
          <w:tcPr>
            <w:tcW w:w="0" w:type="auto"/>
          </w:tcPr>
          <w:p w:rsidR="00687182" w:rsidRDefault="00732216" w:rsidP="00BD30B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MUY BAJO</w:t>
            </w:r>
          </w:p>
        </w:tc>
      </w:tr>
    </w:tbl>
    <w:p w:rsidR="00977CE7" w:rsidRPr="00766E69" w:rsidRDefault="00977CE7" w:rsidP="00766E69">
      <w:pPr>
        <w:ind w:left="2124"/>
        <w:rPr>
          <w:lang w:val="es-MX"/>
        </w:rPr>
      </w:pPr>
    </w:p>
    <w:p w:rsidR="00DB7CF5" w:rsidRPr="0071268C" w:rsidRDefault="00DB7CF5" w:rsidP="00646252">
      <w:pPr>
        <w:pStyle w:val="Ttulo4"/>
        <w:ind w:left="2127"/>
        <w:rPr>
          <w:lang w:val="es-MX"/>
        </w:rPr>
      </w:pPr>
      <w:r>
        <w:rPr>
          <w:lang w:val="es-MX"/>
        </w:rPr>
        <w:t>Interpretación del valor obtenido:</w:t>
      </w:r>
    </w:p>
    <w:p w:rsidR="00395418" w:rsidRDefault="00DB7CF5" w:rsidP="00D20F8B">
      <w:pPr>
        <w:ind w:left="2124"/>
        <w:rPr>
          <w:u w:val="single"/>
          <w:lang w:val="es-MX"/>
        </w:rPr>
      </w:pPr>
      <w:r>
        <w:rPr>
          <w:lang w:val="es-MX"/>
        </w:rPr>
        <w:t xml:space="preserve">Para el caso que venimos considerando, de los 19 problemas solo se gestionan 5 y con una prioridad media. Por este motivo, </w:t>
      </w:r>
      <w:r w:rsidR="00732216">
        <w:rPr>
          <w:lang w:val="es-MX"/>
        </w:rPr>
        <w:t xml:space="preserve">el alcance </w:t>
      </w:r>
      <w:r>
        <w:rPr>
          <w:lang w:val="es-MX"/>
        </w:rPr>
        <w:t xml:space="preserve">de la gestión es </w:t>
      </w:r>
      <w:r w:rsidR="00687182">
        <w:rPr>
          <w:lang w:val="es-MX"/>
        </w:rPr>
        <w:t xml:space="preserve">MUY </w:t>
      </w:r>
      <w:r w:rsidR="00732216">
        <w:rPr>
          <w:lang w:val="es-MX"/>
        </w:rPr>
        <w:t>BAJO</w:t>
      </w:r>
      <w:r>
        <w:rPr>
          <w:lang w:val="es-MX"/>
        </w:rPr>
        <w:t>.</w:t>
      </w:r>
      <w:bookmarkStart w:id="0" w:name="_GoBack"/>
      <w:bookmarkEnd w:id="0"/>
    </w:p>
    <w:sectPr w:rsidR="00395418" w:rsidSect="00D12489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7D" w:rsidRDefault="001C197D" w:rsidP="002601BA">
      <w:pPr>
        <w:spacing w:after="0" w:line="240" w:lineRule="auto"/>
      </w:pPr>
      <w:r>
        <w:separator/>
      </w:r>
    </w:p>
  </w:endnote>
  <w:endnote w:type="continuationSeparator" w:id="0">
    <w:p w:rsidR="001C197D" w:rsidRDefault="001C197D" w:rsidP="0026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0F" w:rsidRDefault="00D4260F" w:rsidP="00D4260F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20F8B">
      <w:rPr>
        <w:noProof/>
      </w:rPr>
      <w:t>1</w:t>
    </w:r>
    <w:r>
      <w:fldChar w:fldCharType="end"/>
    </w:r>
    <w:r>
      <w:t xml:space="preserve"> de </w:t>
    </w:r>
    <w:fldSimple w:instr=" NUMPAGES  \* Arabic  \* MERGEFORMAT ">
      <w:r w:rsidR="00D20F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7D" w:rsidRDefault="001C197D" w:rsidP="002601BA">
      <w:pPr>
        <w:spacing w:after="0" w:line="240" w:lineRule="auto"/>
      </w:pPr>
      <w:r>
        <w:separator/>
      </w:r>
    </w:p>
  </w:footnote>
  <w:footnote w:type="continuationSeparator" w:id="0">
    <w:p w:rsidR="001C197D" w:rsidRDefault="001C197D" w:rsidP="0026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3B"/>
    <w:multiLevelType w:val="hybridMultilevel"/>
    <w:tmpl w:val="DAA68D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46094"/>
    <w:multiLevelType w:val="hybridMultilevel"/>
    <w:tmpl w:val="B0646F6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61A94"/>
    <w:multiLevelType w:val="hybridMultilevel"/>
    <w:tmpl w:val="B4AA8388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0"/>
    <w:rsid w:val="00006D6F"/>
    <w:rsid w:val="00015AF0"/>
    <w:rsid w:val="00035EDF"/>
    <w:rsid w:val="000449B5"/>
    <w:rsid w:val="00056FD2"/>
    <w:rsid w:val="0007548A"/>
    <w:rsid w:val="00075639"/>
    <w:rsid w:val="00081997"/>
    <w:rsid w:val="0008465A"/>
    <w:rsid w:val="00084F15"/>
    <w:rsid w:val="000960DC"/>
    <w:rsid w:val="000A7365"/>
    <w:rsid w:val="000B53F7"/>
    <w:rsid w:val="000C0C90"/>
    <w:rsid w:val="000D0ED5"/>
    <w:rsid w:val="000F692D"/>
    <w:rsid w:val="00104A65"/>
    <w:rsid w:val="001224B7"/>
    <w:rsid w:val="00192785"/>
    <w:rsid w:val="001A072F"/>
    <w:rsid w:val="001C197D"/>
    <w:rsid w:val="001E5804"/>
    <w:rsid w:val="001F1EAA"/>
    <w:rsid w:val="00200C5E"/>
    <w:rsid w:val="00203676"/>
    <w:rsid w:val="00215A5D"/>
    <w:rsid w:val="002601BA"/>
    <w:rsid w:val="002A5FE5"/>
    <w:rsid w:val="002D4937"/>
    <w:rsid w:val="002D7C29"/>
    <w:rsid w:val="002F7619"/>
    <w:rsid w:val="0031138F"/>
    <w:rsid w:val="0032431D"/>
    <w:rsid w:val="00387A91"/>
    <w:rsid w:val="00395418"/>
    <w:rsid w:val="003A4CBC"/>
    <w:rsid w:val="003D744B"/>
    <w:rsid w:val="004226BF"/>
    <w:rsid w:val="00424E39"/>
    <w:rsid w:val="004332B7"/>
    <w:rsid w:val="00442D2E"/>
    <w:rsid w:val="00445106"/>
    <w:rsid w:val="00471689"/>
    <w:rsid w:val="00494A02"/>
    <w:rsid w:val="004A50AD"/>
    <w:rsid w:val="004D178E"/>
    <w:rsid w:val="004F6436"/>
    <w:rsid w:val="004F79C5"/>
    <w:rsid w:val="00507683"/>
    <w:rsid w:val="00526D34"/>
    <w:rsid w:val="00542A63"/>
    <w:rsid w:val="005457B3"/>
    <w:rsid w:val="00582734"/>
    <w:rsid w:val="00587039"/>
    <w:rsid w:val="005A4CAA"/>
    <w:rsid w:val="005B7A97"/>
    <w:rsid w:val="005D4E77"/>
    <w:rsid w:val="005D75CF"/>
    <w:rsid w:val="005F22BD"/>
    <w:rsid w:val="006017B6"/>
    <w:rsid w:val="006104A4"/>
    <w:rsid w:val="00610FAF"/>
    <w:rsid w:val="006220D2"/>
    <w:rsid w:val="00630681"/>
    <w:rsid w:val="00646252"/>
    <w:rsid w:val="00671326"/>
    <w:rsid w:val="0068401D"/>
    <w:rsid w:val="00687182"/>
    <w:rsid w:val="0069525E"/>
    <w:rsid w:val="006C75F0"/>
    <w:rsid w:val="006E4304"/>
    <w:rsid w:val="0071268C"/>
    <w:rsid w:val="00732216"/>
    <w:rsid w:val="00737044"/>
    <w:rsid w:val="00737E3B"/>
    <w:rsid w:val="00766E69"/>
    <w:rsid w:val="007702E0"/>
    <w:rsid w:val="00781811"/>
    <w:rsid w:val="00792496"/>
    <w:rsid w:val="007B008F"/>
    <w:rsid w:val="007C2BE5"/>
    <w:rsid w:val="007D2401"/>
    <w:rsid w:val="008159FC"/>
    <w:rsid w:val="0081606F"/>
    <w:rsid w:val="008355A8"/>
    <w:rsid w:val="00845718"/>
    <w:rsid w:val="00857D50"/>
    <w:rsid w:val="008B12BA"/>
    <w:rsid w:val="008D5D12"/>
    <w:rsid w:val="008E1490"/>
    <w:rsid w:val="009115F4"/>
    <w:rsid w:val="00931C33"/>
    <w:rsid w:val="0097189E"/>
    <w:rsid w:val="00977CE7"/>
    <w:rsid w:val="009804BF"/>
    <w:rsid w:val="00997EF8"/>
    <w:rsid w:val="009A76F8"/>
    <w:rsid w:val="009C25E8"/>
    <w:rsid w:val="009C3411"/>
    <w:rsid w:val="009D65F2"/>
    <w:rsid w:val="009E1526"/>
    <w:rsid w:val="00A00633"/>
    <w:rsid w:val="00A079E8"/>
    <w:rsid w:val="00A45C22"/>
    <w:rsid w:val="00A5348D"/>
    <w:rsid w:val="00AA730B"/>
    <w:rsid w:val="00AF7ED0"/>
    <w:rsid w:val="00B02CEB"/>
    <w:rsid w:val="00B04101"/>
    <w:rsid w:val="00B15FC7"/>
    <w:rsid w:val="00B56BDA"/>
    <w:rsid w:val="00B641FC"/>
    <w:rsid w:val="00BD30B7"/>
    <w:rsid w:val="00BE09DC"/>
    <w:rsid w:val="00C34811"/>
    <w:rsid w:val="00C77A5A"/>
    <w:rsid w:val="00C83F1F"/>
    <w:rsid w:val="00C843F7"/>
    <w:rsid w:val="00C92836"/>
    <w:rsid w:val="00CA31C3"/>
    <w:rsid w:val="00CC0C73"/>
    <w:rsid w:val="00CC63E9"/>
    <w:rsid w:val="00CE0ACD"/>
    <w:rsid w:val="00D01296"/>
    <w:rsid w:val="00D10D80"/>
    <w:rsid w:val="00D12489"/>
    <w:rsid w:val="00D20C15"/>
    <w:rsid w:val="00D20F8B"/>
    <w:rsid w:val="00D4260F"/>
    <w:rsid w:val="00D43B45"/>
    <w:rsid w:val="00D61097"/>
    <w:rsid w:val="00D63367"/>
    <w:rsid w:val="00D66790"/>
    <w:rsid w:val="00D669F0"/>
    <w:rsid w:val="00D7282C"/>
    <w:rsid w:val="00D87F96"/>
    <w:rsid w:val="00D94DF0"/>
    <w:rsid w:val="00DB7CF5"/>
    <w:rsid w:val="00DC10F3"/>
    <w:rsid w:val="00DC3C31"/>
    <w:rsid w:val="00DC5850"/>
    <w:rsid w:val="00DC6B70"/>
    <w:rsid w:val="00DD594D"/>
    <w:rsid w:val="00E34526"/>
    <w:rsid w:val="00E4104D"/>
    <w:rsid w:val="00E712C2"/>
    <w:rsid w:val="00E7469C"/>
    <w:rsid w:val="00EB20EB"/>
    <w:rsid w:val="00EB3A36"/>
    <w:rsid w:val="00EB51FD"/>
    <w:rsid w:val="00EC70CC"/>
    <w:rsid w:val="00F3634E"/>
    <w:rsid w:val="00F47D8A"/>
    <w:rsid w:val="00F52E41"/>
    <w:rsid w:val="00F71D8C"/>
    <w:rsid w:val="00F77276"/>
    <w:rsid w:val="00FC02EA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1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8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1689"/>
    <w:pPr>
      <w:keepNext/>
      <w:keepLines/>
      <w:spacing w:before="200" w:after="0"/>
      <w:ind w:left="1416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6FD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56FD2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CEB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CEB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CE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1B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0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1BA"/>
    <w:rPr>
      <w:lang w:val="es-AR"/>
    </w:rPr>
  </w:style>
  <w:style w:type="table" w:styleId="Tablaconcuadrcula">
    <w:name w:val="Table Grid"/>
    <w:basedOn w:val="Tablanormal"/>
    <w:uiPriority w:val="59"/>
    <w:rsid w:val="00A0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12BA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71689"/>
    <w:rPr>
      <w:rFonts w:eastAsiaTheme="majorEastAsia" w:cstheme="majorBidi"/>
      <w:b/>
      <w:bCs/>
      <w:color w:val="000000" w:themeColor="text1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471689"/>
    <w:rPr>
      <w:rFonts w:eastAsiaTheme="majorEastAsia" w:cstheme="majorBid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056FD2"/>
    <w:rPr>
      <w:rFonts w:eastAsiaTheme="majorEastAsia" w:cstheme="majorBidi"/>
      <w:b/>
      <w:bCs/>
      <w:i/>
      <w:iCs/>
      <w:color w:val="000000" w:themeColor="text1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056FD2"/>
    <w:rPr>
      <w:rFonts w:eastAsiaTheme="majorEastAsia" w:cstheme="majorBidi"/>
      <w:b/>
      <w:color w:val="243F60" w:themeColor="accent1" w:themeShade="7F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D1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20E7-7365-414B-9B8C-9789F2F8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D'Angelo</dc:creator>
  <cp:lastModifiedBy>Carlos D'Angelo</cp:lastModifiedBy>
  <cp:revision>3</cp:revision>
  <cp:lastPrinted>2017-07-13T21:46:00Z</cp:lastPrinted>
  <dcterms:created xsi:type="dcterms:W3CDTF">2017-08-22T12:51:00Z</dcterms:created>
  <dcterms:modified xsi:type="dcterms:W3CDTF">2017-08-22T12:57:00Z</dcterms:modified>
</cp:coreProperties>
</file>