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6C" w:rsidRDefault="005A076C" w:rsidP="005A076C">
      <w:pPr>
        <w:pStyle w:val="Ttulo1"/>
        <w:rPr>
          <w:lang w:val="es-MX"/>
        </w:rPr>
      </w:pPr>
      <w:r>
        <w:rPr>
          <w:lang w:val="es-MX"/>
        </w:rPr>
        <w:t>INDICADORES</w:t>
      </w: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5F22BD" w:rsidRDefault="00687182" w:rsidP="004332B7">
      <w:pPr>
        <w:pStyle w:val="Ttulo3"/>
        <w:rPr>
          <w:lang w:val="es-MX"/>
        </w:rPr>
      </w:pPr>
      <w:r>
        <w:rPr>
          <w:u w:val="single"/>
          <w:lang w:val="es-MX"/>
        </w:rPr>
        <w:t>SEGUNDO</w:t>
      </w:r>
      <w:r w:rsidR="00D10D80" w:rsidRPr="00D10D80">
        <w:rPr>
          <w:u w:val="single"/>
          <w:lang w:val="es-MX"/>
        </w:rPr>
        <w:t xml:space="preserve"> INDICADOR</w:t>
      </w:r>
      <w:r w:rsidR="00671326" w:rsidRPr="00671326">
        <w:rPr>
          <w:lang w:val="es-MX"/>
        </w:rPr>
        <w:t xml:space="preserve">) </w:t>
      </w:r>
      <w:r w:rsidR="00B641FC">
        <w:rPr>
          <w:lang w:val="es-MX"/>
        </w:rPr>
        <w:t xml:space="preserve">Prioridad </w:t>
      </w:r>
      <w:r w:rsidR="0007548A">
        <w:rPr>
          <w:lang w:val="es-MX"/>
        </w:rPr>
        <w:t>asignada en la unidad de gestión (munic</w:t>
      </w:r>
      <w:r w:rsidR="0007548A">
        <w:rPr>
          <w:lang w:val="es-MX"/>
        </w:rPr>
        <w:t>i</w:t>
      </w:r>
      <w:r w:rsidR="0007548A">
        <w:rPr>
          <w:lang w:val="es-MX"/>
        </w:rPr>
        <w:t>pio, comuna) a</w:t>
      </w:r>
      <w:r w:rsidR="00B641FC">
        <w:rPr>
          <w:lang w:val="es-MX"/>
        </w:rPr>
        <w:t xml:space="preserve"> los problemas </w:t>
      </w:r>
      <w:r w:rsidR="005F22BD">
        <w:rPr>
          <w:lang w:val="es-MX"/>
        </w:rPr>
        <w:t xml:space="preserve">de los fitosanitarios periurbanos </w:t>
      </w:r>
      <w:r w:rsidR="00B641FC">
        <w:rPr>
          <w:lang w:val="es-MX"/>
        </w:rPr>
        <w:t>(19</w:t>
      </w:r>
      <w:r w:rsidR="005F22BD">
        <w:rPr>
          <w:lang w:val="es-MX"/>
        </w:rPr>
        <w:t xml:space="preserve"> probl</w:t>
      </w:r>
      <w:r w:rsidR="005F22BD">
        <w:rPr>
          <w:lang w:val="es-MX"/>
        </w:rPr>
        <w:t>e</w:t>
      </w:r>
      <w:r w:rsidR="005F22BD">
        <w:rPr>
          <w:lang w:val="es-MX"/>
        </w:rPr>
        <w:t>mas</w:t>
      </w:r>
      <w:r w:rsidR="0007548A">
        <w:rPr>
          <w:lang w:val="es-MX"/>
        </w:rPr>
        <w:t>).</w:t>
      </w:r>
    </w:p>
    <w:p w:rsidR="005F22BD" w:rsidRDefault="005F22BD" w:rsidP="005F22BD">
      <w:pPr>
        <w:ind w:left="2124"/>
        <w:rPr>
          <w:lang w:val="es-MX"/>
        </w:rPr>
      </w:pPr>
      <w:r>
        <w:rPr>
          <w:b/>
          <w:i/>
          <w:lang w:val="es-MX"/>
        </w:rPr>
        <w:t>Descripción</w:t>
      </w:r>
      <w:r w:rsidR="0008465A">
        <w:rPr>
          <w:b/>
          <w:i/>
          <w:lang w:val="es-MX"/>
        </w:rPr>
        <w:t xml:space="preserve">: </w:t>
      </w:r>
      <w:r w:rsidR="00D87F96">
        <w:rPr>
          <w:lang w:val="es-MX"/>
        </w:rPr>
        <w:t xml:space="preserve">La </w:t>
      </w:r>
      <w:r w:rsidR="002D7C29">
        <w:rPr>
          <w:lang w:val="es-MX"/>
        </w:rPr>
        <w:t xml:space="preserve">prioridad </w:t>
      </w:r>
      <w:r>
        <w:rPr>
          <w:lang w:val="es-MX"/>
        </w:rPr>
        <w:t xml:space="preserve">implica la intención de </w:t>
      </w:r>
      <w:r w:rsidR="0008465A">
        <w:rPr>
          <w:lang w:val="es-MX"/>
        </w:rPr>
        <w:t xml:space="preserve">gestionar </w:t>
      </w:r>
      <w:r w:rsidR="00F3634E">
        <w:rPr>
          <w:lang w:val="es-MX"/>
        </w:rPr>
        <w:t>un</w:t>
      </w:r>
      <w:r w:rsidR="0008465A">
        <w:rPr>
          <w:lang w:val="es-MX"/>
        </w:rPr>
        <w:t xml:space="preserve"> problema</w:t>
      </w:r>
      <w:r>
        <w:rPr>
          <w:lang w:val="es-MX"/>
        </w:rPr>
        <w:t xml:space="preserve"> en el corto plazo (3), mediano plazo (2) o largo plazo (1) </w:t>
      </w:r>
      <w:r w:rsidR="0008465A">
        <w:rPr>
          <w:lang w:val="es-MX"/>
        </w:rPr>
        <w:t xml:space="preserve">y se </w:t>
      </w:r>
      <w:r>
        <w:rPr>
          <w:lang w:val="es-MX"/>
        </w:rPr>
        <w:t xml:space="preserve">establece en relación a </w:t>
      </w:r>
      <w:r w:rsidR="0008465A">
        <w:rPr>
          <w:lang w:val="es-MX"/>
        </w:rPr>
        <w:t xml:space="preserve">la totalidad de </w:t>
      </w:r>
      <w:r>
        <w:rPr>
          <w:lang w:val="es-MX"/>
        </w:rPr>
        <w:t>los problemas considerados en la gestión municipal o comunal y no sólo en relación a los fitosanitarios.</w:t>
      </w:r>
      <w:r w:rsidR="00781811">
        <w:rPr>
          <w:lang w:val="es-MX"/>
        </w:rPr>
        <w:t xml:space="preserve"> A esta prioridad la establecen los res</w:t>
      </w:r>
      <w:r w:rsidR="00075639">
        <w:rPr>
          <w:lang w:val="es-MX"/>
        </w:rPr>
        <w:t>ponsables de la gestión comunal.</w:t>
      </w:r>
    </w:p>
    <w:p w:rsidR="00F3634E" w:rsidRDefault="00F3634E" w:rsidP="005F22BD">
      <w:pPr>
        <w:ind w:left="2124"/>
        <w:rPr>
          <w:lang w:val="es-MX"/>
        </w:rPr>
      </w:pPr>
      <w:r>
        <w:rPr>
          <w:b/>
          <w:i/>
          <w:lang w:val="es-MX"/>
        </w:rPr>
        <w:t xml:space="preserve">Cálculo: </w:t>
      </w:r>
      <w:r>
        <w:rPr>
          <w:lang w:val="es-MX"/>
        </w:rPr>
        <w:t>se le asigna un valor de prioridad a los problemas que la mun</w:t>
      </w:r>
      <w:r>
        <w:rPr>
          <w:lang w:val="es-MX"/>
        </w:rPr>
        <w:t>i</w:t>
      </w:r>
      <w:r>
        <w:rPr>
          <w:lang w:val="es-MX"/>
        </w:rPr>
        <w:t>cipalidad o comuna considera gestionables (</w:t>
      </w:r>
      <w:r w:rsidR="00E4104D">
        <w:rPr>
          <w:lang w:val="es-MX"/>
        </w:rPr>
        <w:t xml:space="preserve">pueden ser </w:t>
      </w:r>
      <w:r>
        <w:rPr>
          <w:lang w:val="es-MX"/>
        </w:rPr>
        <w:t>los 19 probl</w:t>
      </w:r>
      <w:r>
        <w:rPr>
          <w:lang w:val="es-MX"/>
        </w:rPr>
        <w:t>e</w:t>
      </w:r>
      <w:r>
        <w:rPr>
          <w:lang w:val="es-MX"/>
        </w:rPr>
        <w:t>mas o sólo algunos).</w:t>
      </w:r>
    </w:p>
    <w:p w:rsidR="00104A65" w:rsidRPr="00104A65" w:rsidRDefault="00E94A7E" w:rsidP="005F22BD">
      <w:pPr>
        <w:ind w:left="2124"/>
        <w:rPr>
          <w:lang w:val="es-MX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Prioridad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Prioridades efectivas del caso</m:t>
                  </m:r>
                </m:e>
                <m:sub/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∑Prioridades máximas del caso</m:t>
                  </m:r>
                </m:e>
                <m:sub/>
              </m:sSub>
            </m:den>
          </m:f>
          <m:r>
            <w:rPr>
              <w:rFonts w:ascii="Cambria Math" w:hAnsi="Cambria Math"/>
              <w:lang w:val="es-MX"/>
            </w:rPr>
            <m:t>×10</m:t>
          </m:r>
        </m:oMath>
      </m:oMathPara>
    </w:p>
    <w:p w:rsidR="00F3634E" w:rsidRDefault="00FC4E50" w:rsidP="005F22BD">
      <w:pPr>
        <w:ind w:left="2124"/>
        <w:rPr>
          <w:lang w:val="es-MX"/>
        </w:rPr>
      </w:pPr>
      <w:r>
        <w:rPr>
          <w:lang w:val="es-MX"/>
        </w:rPr>
        <w:t>Para esto s</w:t>
      </w:r>
      <w:r w:rsidR="00F3634E">
        <w:rPr>
          <w:lang w:val="es-MX"/>
        </w:rPr>
        <w:t>e calcula el valor de prioridad m</w:t>
      </w:r>
      <w:r w:rsidR="00D01296">
        <w:rPr>
          <w:lang w:val="es-MX"/>
        </w:rPr>
        <w:t xml:space="preserve">áximo que correspondería a los problemas que la municipalidad o comuna consideran gestionables. </w:t>
      </w:r>
      <w:proofErr w:type="spellStart"/>
      <w:r w:rsidR="00D01296">
        <w:rPr>
          <w:lang w:val="es-MX"/>
        </w:rPr>
        <w:t>P.e</w:t>
      </w:r>
      <w:proofErr w:type="spellEnd"/>
      <w:r w:rsidR="00D01296">
        <w:rPr>
          <w:lang w:val="es-MX"/>
        </w:rPr>
        <w:t>. de los 19 problemas</w:t>
      </w:r>
      <w:r w:rsidR="00781811">
        <w:rPr>
          <w:lang w:val="es-MX"/>
        </w:rPr>
        <w:t>,</w:t>
      </w:r>
      <w:r w:rsidR="00D01296">
        <w:rPr>
          <w:lang w:val="es-MX"/>
        </w:rPr>
        <w:t xml:space="preserve"> se consideran gestionables 5. El valor </w:t>
      </w:r>
      <w:r>
        <w:rPr>
          <w:lang w:val="es-MX"/>
        </w:rPr>
        <w:t>de pri</w:t>
      </w:r>
      <w:r>
        <w:rPr>
          <w:lang w:val="es-MX"/>
        </w:rPr>
        <w:t>o</w:t>
      </w:r>
      <w:r>
        <w:rPr>
          <w:lang w:val="es-MX"/>
        </w:rPr>
        <w:t xml:space="preserve">ridad </w:t>
      </w:r>
      <w:r w:rsidR="00D01296">
        <w:rPr>
          <w:lang w:val="es-MX"/>
        </w:rPr>
        <w:t>máximo para el caso es 5 x 3= 15.</w:t>
      </w:r>
    </w:p>
    <w:p w:rsidR="00D01296" w:rsidRDefault="00D01296" w:rsidP="005F22BD">
      <w:pPr>
        <w:ind w:left="2124"/>
        <w:rPr>
          <w:lang w:val="es-MX"/>
        </w:rPr>
      </w:pPr>
      <w:r>
        <w:rPr>
          <w:lang w:val="es-MX"/>
        </w:rPr>
        <w:t xml:space="preserve">Se calcula el valor de prioridad </w:t>
      </w:r>
      <w:r w:rsidR="009C25E8">
        <w:rPr>
          <w:lang w:val="es-MX"/>
        </w:rPr>
        <w:t xml:space="preserve">que la municipalidad </w:t>
      </w:r>
      <w:r>
        <w:rPr>
          <w:lang w:val="es-MX"/>
        </w:rPr>
        <w:t xml:space="preserve">efectivamente asigna </w:t>
      </w:r>
      <w:r w:rsidR="009C25E8">
        <w:rPr>
          <w:lang w:val="es-MX"/>
        </w:rPr>
        <w:t>a</w:t>
      </w:r>
      <w:r>
        <w:rPr>
          <w:lang w:val="es-MX"/>
        </w:rPr>
        <w:t>l caso</w:t>
      </w:r>
      <w:r w:rsidR="00FC4E50">
        <w:rPr>
          <w:lang w:val="es-MX"/>
        </w:rPr>
        <w:t xml:space="preserve"> (Prioridades efectivas del caso)</w:t>
      </w:r>
      <w:r>
        <w:rPr>
          <w:lang w:val="es-MX"/>
        </w:rPr>
        <w:t>. Este deriva de la suma de prioridad</w:t>
      </w:r>
      <w:r w:rsidR="00781811">
        <w:rPr>
          <w:lang w:val="es-MX"/>
        </w:rPr>
        <w:t>es</w:t>
      </w:r>
      <w:r>
        <w:rPr>
          <w:lang w:val="es-MX"/>
        </w:rPr>
        <w:t xml:space="preserve"> asignadas. </w:t>
      </w:r>
      <w:r w:rsidR="00A079E8">
        <w:rPr>
          <w:lang w:val="es-MX"/>
        </w:rPr>
        <w:t xml:space="preserve"> Por ejemplo:</w:t>
      </w:r>
    </w:p>
    <w:p w:rsidR="00F71D8C" w:rsidRDefault="00F71D8C" w:rsidP="005F22BD">
      <w:pPr>
        <w:ind w:left="2124"/>
        <w:rPr>
          <w:lang w:val="es-MX"/>
        </w:rPr>
      </w:pP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1037"/>
      </w:tblGrid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Problema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Prioridad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right"/>
              <w:rPr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</w:tr>
    </w:tbl>
    <w:p w:rsidR="009C25E8" w:rsidRDefault="009C25E8" w:rsidP="005F22BD">
      <w:pPr>
        <w:ind w:left="2124"/>
        <w:rPr>
          <w:lang w:val="es-MX"/>
        </w:rPr>
      </w:pPr>
    </w:p>
    <w:p w:rsidR="0071268C" w:rsidRDefault="00FC4E50" w:rsidP="005F22BD">
      <w:pPr>
        <w:ind w:left="2124"/>
        <w:rPr>
          <w:lang w:val="es-MX"/>
        </w:rPr>
      </w:pPr>
      <w:r>
        <w:rPr>
          <w:lang w:val="es-MX"/>
        </w:rPr>
        <w:t>De este modo:</w:t>
      </w:r>
    </w:p>
    <w:p w:rsidR="00B04101" w:rsidRDefault="00B04101" w:rsidP="005F22BD">
      <w:pPr>
        <w:ind w:left="2124"/>
        <w:rPr>
          <w:lang w:val="es-MX"/>
        </w:rPr>
      </w:pPr>
    </w:p>
    <w:p w:rsidR="00B04101" w:rsidRPr="00104A65" w:rsidRDefault="00E94A7E" w:rsidP="00B04101">
      <w:pPr>
        <w:ind w:left="2124"/>
        <w:rPr>
          <w:lang w:val="es-MX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Prioridad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9</m:t>
              </m:r>
            </m:num>
            <m:den>
              <m:r>
                <w:rPr>
                  <w:rFonts w:ascii="Cambria Math" w:hAnsi="Cambria Math"/>
                  <w:lang w:val="es-MX"/>
                </w:rPr>
                <m:t>15</m:t>
              </m:r>
            </m:den>
          </m:f>
          <m:r>
            <w:rPr>
              <w:rFonts w:ascii="Cambria Math" w:hAnsi="Cambria Math"/>
              <w:lang w:val="es-MX"/>
            </w:rPr>
            <m:t>×10=6</m:t>
          </m:r>
        </m:oMath>
      </m:oMathPara>
    </w:p>
    <w:p w:rsidR="00395418" w:rsidRDefault="00395418" w:rsidP="005F22BD">
      <w:pPr>
        <w:ind w:left="2124"/>
        <w:rPr>
          <w:lang w:val="es-MX"/>
        </w:rPr>
      </w:pPr>
    </w:p>
    <w:p w:rsidR="00395418" w:rsidRDefault="00395418" w:rsidP="005F22BD">
      <w:pPr>
        <w:ind w:left="2124"/>
        <w:rPr>
          <w:lang w:val="es-MX"/>
        </w:rPr>
      </w:pPr>
    </w:p>
    <w:p w:rsidR="009C25E8" w:rsidRDefault="009C25E8" w:rsidP="005F22BD">
      <w:pPr>
        <w:ind w:left="2124"/>
        <w:rPr>
          <w:lang w:val="es-MX"/>
        </w:rPr>
      </w:pPr>
      <w:r>
        <w:rPr>
          <w:lang w:val="es-MX"/>
        </w:rPr>
        <w:t>El puntaje se coloca en una escala nominal que considera: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966"/>
        <w:gridCol w:w="1843"/>
      </w:tblGrid>
      <w:tr w:rsidR="00EB3A36" w:rsidTr="00DC10F3">
        <w:trPr>
          <w:jc w:val="center"/>
        </w:trPr>
        <w:tc>
          <w:tcPr>
            <w:tcW w:w="0" w:type="auto"/>
            <w:gridSpan w:val="2"/>
            <w:vAlign w:val="center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Prioridad de </w:t>
            </w:r>
            <w:r w:rsidR="00DC10F3">
              <w:rPr>
                <w:b/>
                <w:lang w:val="es-MX"/>
              </w:rPr>
              <w:t>la gestión de</w:t>
            </w:r>
            <w:r>
              <w:rPr>
                <w:b/>
                <w:lang w:val="es-MX"/>
              </w:rPr>
              <w:t xml:space="preserve"> fitosanitarios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EB3A36">
              <w:rPr>
                <w:lang w:val="es-MX"/>
              </w:rPr>
              <w:t>ALTA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DC10F3" w:rsidP="007B008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&lt; </w:t>
            </w:r>
            <w:r w:rsidR="00EB3A36">
              <w:rPr>
                <w:lang w:val="es-MX"/>
              </w:rPr>
              <w:t xml:space="preserve"> </w:t>
            </w:r>
            <w:r w:rsidR="007B008F">
              <w:rPr>
                <w:lang w:val="es-MX"/>
              </w:rPr>
              <w:t>10</w:t>
            </w:r>
            <w:r w:rsidR="00EB3A36">
              <w:rPr>
                <w:lang w:val="es-MX"/>
              </w:rPr>
              <w:t xml:space="preserve"> a </w:t>
            </w:r>
            <w:r>
              <w:rPr>
                <w:lang w:val="es-MX"/>
              </w:rPr>
              <w:t xml:space="preserve">&gt;= </w:t>
            </w:r>
            <w:r w:rsidR="007B008F">
              <w:rPr>
                <w:lang w:val="es-MX"/>
              </w:rPr>
              <w:t>8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DC10F3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&lt; </w:t>
            </w:r>
            <w:r w:rsidR="007B008F">
              <w:rPr>
                <w:lang w:val="es-MX"/>
              </w:rPr>
              <w:t xml:space="preserve"> 8</w:t>
            </w:r>
            <w:r w:rsidR="00EB3A36">
              <w:rPr>
                <w:lang w:val="es-MX"/>
              </w:rPr>
              <w:t xml:space="preserve"> a </w:t>
            </w:r>
            <w:r>
              <w:rPr>
                <w:lang w:val="es-MX"/>
              </w:rPr>
              <w:t xml:space="preserve">&gt;= </w:t>
            </w:r>
            <w:r w:rsidR="007B008F">
              <w:rPr>
                <w:lang w:val="es-MX"/>
              </w:rPr>
              <w:t xml:space="preserve"> 6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</w:tr>
      <w:tr w:rsidR="007B008F" w:rsidTr="00DC10F3">
        <w:trPr>
          <w:jc w:val="center"/>
        </w:trPr>
        <w:tc>
          <w:tcPr>
            <w:tcW w:w="0" w:type="auto"/>
          </w:tcPr>
          <w:p w:rsidR="007B008F" w:rsidRDefault="00792496" w:rsidP="007924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7B008F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7B008F" w:rsidTr="00DC10F3">
        <w:trPr>
          <w:jc w:val="center"/>
        </w:trPr>
        <w:tc>
          <w:tcPr>
            <w:tcW w:w="0" w:type="auto"/>
          </w:tcPr>
          <w:p w:rsidR="007B008F" w:rsidRDefault="00792496" w:rsidP="007924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7B008F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9C25E8" w:rsidRPr="00EB3A36" w:rsidRDefault="009C25E8" w:rsidP="005F22BD">
      <w:pPr>
        <w:ind w:left="2124"/>
        <w:rPr>
          <w:b/>
          <w:lang w:val="es-MX"/>
        </w:rPr>
      </w:pPr>
    </w:p>
    <w:p w:rsidR="009C25E8" w:rsidRDefault="00DC10F3" w:rsidP="005F22BD">
      <w:pPr>
        <w:ind w:left="2124"/>
        <w:rPr>
          <w:lang w:val="es-MX"/>
        </w:rPr>
      </w:pPr>
      <w:r>
        <w:rPr>
          <w:lang w:val="es-MX"/>
        </w:rPr>
        <w:t>Para este caso, la prioridad de la gestión de fitosanitarios</w:t>
      </w:r>
      <w:r w:rsidR="00E4104D">
        <w:rPr>
          <w:lang w:val="es-MX"/>
        </w:rPr>
        <w:t xml:space="preserve"> en la unidad de gestión</w:t>
      </w:r>
      <w:r>
        <w:rPr>
          <w:lang w:val="es-MX"/>
        </w:rPr>
        <w:t xml:space="preserve"> es </w:t>
      </w:r>
      <w:r w:rsidR="00D669F0">
        <w:rPr>
          <w:lang w:val="es-MX"/>
        </w:rPr>
        <w:t>MEDIA</w:t>
      </w:r>
      <w:r>
        <w:rPr>
          <w:lang w:val="es-MX"/>
        </w:rPr>
        <w:t>. Adviértase qu</w:t>
      </w:r>
      <w:r w:rsidR="00FC02EA">
        <w:rPr>
          <w:lang w:val="es-MX"/>
        </w:rPr>
        <w:t xml:space="preserve">e no es </w:t>
      </w:r>
      <w:r w:rsidR="00D669F0">
        <w:rPr>
          <w:lang w:val="es-MX"/>
        </w:rPr>
        <w:t>media</w:t>
      </w:r>
      <w:r w:rsidR="00FC02EA">
        <w:rPr>
          <w:lang w:val="es-MX"/>
        </w:rPr>
        <w:t xml:space="preserve"> porque se gestione</w:t>
      </w:r>
      <w:r>
        <w:rPr>
          <w:lang w:val="es-MX"/>
        </w:rPr>
        <w:t xml:space="preserve">n pocos problemas (5 de 19) sino porque a los 5 que se gestionan se les da </w:t>
      </w:r>
      <w:r w:rsidR="00D669F0">
        <w:rPr>
          <w:lang w:val="es-MX"/>
        </w:rPr>
        <w:t xml:space="preserve">una </w:t>
      </w:r>
      <w:r>
        <w:rPr>
          <w:lang w:val="es-MX"/>
        </w:rPr>
        <w:t>prioridad</w:t>
      </w:r>
      <w:r w:rsidR="00D669F0">
        <w:rPr>
          <w:lang w:val="es-MX"/>
        </w:rPr>
        <w:t xml:space="preserve"> media</w:t>
      </w:r>
      <w:r>
        <w:rPr>
          <w:lang w:val="es-MX"/>
        </w:rPr>
        <w:t>.</w:t>
      </w:r>
    </w:p>
    <w:p w:rsidR="009C25E8" w:rsidRPr="0071268C" w:rsidRDefault="0071268C" w:rsidP="005F22BD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9C25E8" w:rsidRDefault="0071268C" w:rsidP="005F22BD">
      <w:pPr>
        <w:ind w:left="2124"/>
        <w:rPr>
          <w:lang w:val="es-MX"/>
        </w:rPr>
      </w:pPr>
      <w:r>
        <w:rPr>
          <w:lang w:val="es-MX"/>
        </w:rPr>
        <w:t xml:space="preserve">A mayor valor de prioridad, mayor el compromiso de </w:t>
      </w:r>
      <w:r w:rsidR="00FC02EA">
        <w:rPr>
          <w:lang w:val="es-MX"/>
        </w:rPr>
        <w:t>gestionar los problemas considerados</w:t>
      </w:r>
      <w:r w:rsidR="00D10D80">
        <w:rPr>
          <w:lang w:val="es-MX"/>
        </w:rPr>
        <w:t xml:space="preserve"> gestionables</w:t>
      </w:r>
      <w:r w:rsidR="00FC02EA">
        <w:rPr>
          <w:lang w:val="es-MX"/>
        </w:rPr>
        <w:t>. El hecho de que solo se gesti</w:t>
      </w:r>
      <w:r w:rsidR="00FC02EA">
        <w:rPr>
          <w:lang w:val="es-MX"/>
        </w:rPr>
        <w:t>o</w:t>
      </w:r>
      <w:r w:rsidR="00FC02EA">
        <w:rPr>
          <w:lang w:val="es-MX"/>
        </w:rPr>
        <w:t xml:space="preserve">nen 5 de los 19 problemas </w:t>
      </w:r>
      <w:r w:rsidR="00732216">
        <w:rPr>
          <w:lang w:val="es-MX"/>
        </w:rPr>
        <w:t>involucrados en el problema</w:t>
      </w:r>
      <w:r w:rsidR="00630681">
        <w:rPr>
          <w:lang w:val="es-MX"/>
        </w:rPr>
        <w:t xml:space="preserve"> no tiene peso en este indicador</w:t>
      </w:r>
      <w:r w:rsidR="00FC02EA">
        <w:rPr>
          <w:lang w:val="es-MX"/>
        </w:rPr>
        <w:t>.</w:t>
      </w: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Pr="00395418" w:rsidRDefault="00395418" w:rsidP="00395418">
      <w:pPr>
        <w:rPr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395418">
      <w:pPr>
        <w:rPr>
          <w:lang w:val="es-MX"/>
        </w:rPr>
      </w:pPr>
    </w:p>
    <w:p w:rsidR="00395418" w:rsidRDefault="00395418" w:rsidP="00395418">
      <w:pPr>
        <w:rPr>
          <w:lang w:val="es-MX"/>
        </w:rPr>
      </w:pPr>
    </w:p>
    <w:p w:rsidR="00395418" w:rsidRPr="00395418" w:rsidRDefault="00395418" w:rsidP="00395418">
      <w:pPr>
        <w:rPr>
          <w:lang w:val="es-MX"/>
        </w:rPr>
      </w:pPr>
      <w:bookmarkStart w:id="0" w:name="_GoBack"/>
      <w:bookmarkEnd w:id="0"/>
    </w:p>
    <w:sectPr w:rsidR="00395418" w:rsidRPr="00395418" w:rsidSect="00D1248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7E" w:rsidRDefault="00E94A7E" w:rsidP="002601BA">
      <w:pPr>
        <w:spacing w:after="0" w:line="240" w:lineRule="auto"/>
      </w:pPr>
      <w:r>
        <w:separator/>
      </w:r>
    </w:p>
  </w:endnote>
  <w:endnote w:type="continuationSeparator" w:id="0">
    <w:p w:rsidR="00E94A7E" w:rsidRDefault="00E94A7E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0F" w:rsidRDefault="00D4260F" w:rsidP="00D4260F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076C">
      <w:rPr>
        <w:noProof/>
      </w:rPr>
      <w:t>1</w:t>
    </w:r>
    <w:r>
      <w:fldChar w:fldCharType="end"/>
    </w:r>
    <w:r>
      <w:t xml:space="preserve"> de </w:t>
    </w:r>
    <w:fldSimple w:instr=" NUMPAGES  \* Arabic  \* MERGEFORMAT ">
      <w:r w:rsidR="005A07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7E" w:rsidRDefault="00E94A7E" w:rsidP="002601BA">
      <w:pPr>
        <w:spacing w:after="0" w:line="240" w:lineRule="auto"/>
      </w:pPr>
      <w:r>
        <w:separator/>
      </w:r>
    </w:p>
  </w:footnote>
  <w:footnote w:type="continuationSeparator" w:id="0">
    <w:p w:rsidR="00E94A7E" w:rsidRDefault="00E94A7E" w:rsidP="0026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3B"/>
    <w:multiLevelType w:val="hybridMultilevel"/>
    <w:tmpl w:val="DAA68D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6094"/>
    <w:multiLevelType w:val="hybridMultilevel"/>
    <w:tmpl w:val="B0646F6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61A94"/>
    <w:multiLevelType w:val="hybridMultilevel"/>
    <w:tmpl w:val="B4AA83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006D6F"/>
    <w:rsid w:val="00015AF0"/>
    <w:rsid w:val="00035EDF"/>
    <w:rsid w:val="000449B5"/>
    <w:rsid w:val="00056FD2"/>
    <w:rsid w:val="0007548A"/>
    <w:rsid w:val="00075639"/>
    <w:rsid w:val="00081997"/>
    <w:rsid w:val="0008465A"/>
    <w:rsid w:val="00084F15"/>
    <w:rsid w:val="000960DC"/>
    <w:rsid w:val="000A7365"/>
    <w:rsid w:val="000B53F7"/>
    <w:rsid w:val="000C0C90"/>
    <w:rsid w:val="000D0ED5"/>
    <w:rsid w:val="000F692D"/>
    <w:rsid w:val="00104A65"/>
    <w:rsid w:val="001224B7"/>
    <w:rsid w:val="00192785"/>
    <w:rsid w:val="001A072F"/>
    <w:rsid w:val="001E5804"/>
    <w:rsid w:val="001F1EAA"/>
    <w:rsid w:val="00200C5E"/>
    <w:rsid w:val="00203676"/>
    <w:rsid w:val="00215A5D"/>
    <w:rsid w:val="002601BA"/>
    <w:rsid w:val="002A5FE5"/>
    <w:rsid w:val="002D4937"/>
    <w:rsid w:val="002D7C29"/>
    <w:rsid w:val="002F7619"/>
    <w:rsid w:val="0031138F"/>
    <w:rsid w:val="0032431D"/>
    <w:rsid w:val="00387A91"/>
    <w:rsid w:val="00395418"/>
    <w:rsid w:val="003A4CBC"/>
    <w:rsid w:val="003D744B"/>
    <w:rsid w:val="004226BF"/>
    <w:rsid w:val="00424E39"/>
    <w:rsid w:val="004332B7"/>
    <w:rsid w:val="00442D2E"/>
    <w:rsid w:val="00445106"/>
    <w:rsid w:val="00471689"/>
    <w:rsid w:val="00494A02"/>
    <w:rsid w:val="004A50AD"/>
    <w:rsid w:val="004D178E"/>
    <w:rsid w:val="004F6436"/>
    <w:rsid w:val="004F79C5"/>
    <w:rsid w:val="00507683"/>
    <w:rsid w:val="00526D34"/>
    <w:rsid w:val="00542A63"/>
    <w:rsid w:val="005457B3"/>
    <w:rsid w:val="00582734"/>
    <w:rsid w:val="00587039"/>
    <w:rsid w:val="005A076C"/>
    <w:rsid w:val="005A4CAA"/>
    <w:rsid w:val="005B7A97"/>
    <w:rsid w:val="005D4E77"/>
    <w:rsid w:val="005D75CF"/>
    <w:rsid w:val="005F22BD"/>
    <w:rsid w:val="006017B6"/>
    <w:rsid w:val="006104A4"/>
    <w:rsid w:val="00610FAF"/>
    <w:rsid w:val="006220D2"/>
    <w:rsid w:val="00630681"/>
    <w:rsid w:val="00646252"/>
    <w:rsid w:val="00671326"/>
    <w:rsid w:val="0068401D"/>
    <w:rsid w:val="00687182"/>
    <w:rsid w:val="0069525E"/>
    <w:rsid w:val="006C75F0"/>
    <w:rsid w:val="006E4304"/>
    <w:rsid w:val="0071268C"/>
    <w:rsid w:val="00732216"/>
    <w:rsid w:val="00737044"/>
    <w:rsid w:val="00737E3B"/>
    <w:rsid w:val="00766E69"/>
    <w:rsid w:val="00781811"/>
    <w:rsid w:val="00792496"/>
    <w:rsid w:val="007B008F"/>
    <w:rsid w:val="007C2BE5"/>
    <w:rsid w:val="007D2401"/>
    <w:rsid w:val="008159FC"/>
    <w:rsid w:val="0081606F"/>
    <w:rsid w:val="008355A8"/>
    <w:rsid w:val="00845718"/>
    <w:rsid w:val="00857D50"/>
    <w:rsid w:val="008B12BA"/>
    <w:rsid w:val="008D5D12"/>
    <w:rsid w:val="008E1490"/>
    <w:rsid w:val="009115F4"/>
    <w:rsid w:val="00931C33"/>
    <w:rsid w:val="0097189E"/>
    <w:rsid w:val="00977CE7"/>
    <w:rsid w:val="009804BF"/>
    <w:rsid w:val="00997EF8"/>
    <w:rsid w:val="009A76F8"/>
    <w:rsid w:val="009C25E8"/>
    <w:rsid w:val="009C3411"/>
    <w:rsid w:val="009D55C3"/>
    <w:rsid w:val="009D65F2"/>
    <w:rsid w:val="009E1526"/>
    <w:rsid w:val="00A00633"/>
    <w:rsid w:val="00A079E8"/>
    <w:rsid w:val="00A45C22"/>
    <w:rsid w:val="00A5348D"/>
    <w:rsid w:val="00AA730B"/>
    <w:rsid w:val="00AF7ED0"/>
    <w:rsid w:val="00B02CEB"/>
    <w:rsid w:val="00B04101"/>
    <w:rsid w:val="00B15FC7"/>
    <w:rsid w:val="00B56BDA"/>
    <w:rsid w:val="00B641FC"/>
    <w:rsid w:val="00BD30B7"/>
    <w:rsid w:val="00C34811"/>
    <w:rsid w:val="00C77A5A"/>
    <w:rsid w:val="00C83F1F"/>
    <w:rsid w:val="00C843F7"/>
    <w:rsid w:val="00C92836"/>
    <w:rsid w:val="00CA31C3"/>
    <w:rsid w:val="00CC0C73"/>
    <w:rsid w:val="00CC63E9"/>
    <w:rsid w:val="00CE0ACD"/>
    <w:rsid w:val="00D01296"/>
    <w:rsid w:val="00D10D80"/>
    <w:rsid w:val="00D12489"/>
    <w:rsid w:val="00D20C15"/>
    <w:rsid w:val="00D4260F"/>
    <w:rsid w:val="00D43B45"/>
    <w:rsid w:val="00D61097"/>
    <w:rsid w:val="00D63367"/>
    <w:rsid w:val="00D66790"/>
    <w:rsid w:val="00D669F0"/>
    <w:rsid w:val="00D7282C"/>
    <w:rsid w:val="00D87F96"/>
    <w:rsid w:val="00D94DF0"/>
    <w:rsid w:val="00DB7CF5"/>
    <w:rsid w:val="00DC10F3"/>
    <w:rsid w:val="00DC3C31"/>
    <w:rsid w:val="00DC5850"/>
    <w:rsid w:val="00DC6B70"/>
    <w:rsid w:val="00DD594D"/>
    <w:rsid w:val="00E34526"/>
    <w:rsid w:val="00E4104D"/>
    <w:rsid w:val="00E712C2"/>
    <w:rsid w:val="00E7469C"/>
    <w:rsid w:val="00E94A7E"/>
    <w:rsid w:val="00EB20EB"/>
    <w:rsid w:val="00EB3A36"/>
    <w:rsid w:val="00EB51FD"/>
    <w:rsid w:val="00EC70CC"/>
    <w:rsid w:val="00F3634E"/>
    <w:rsid w:val="00F47D8A"/>
    <w:rsid w:val="00F52E41"/>
    <w:rsid w:val="00F71D8C"/>
    <w:rsid w:val="00F77276"/>
    <w:rsid w:val="00FC02E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9654-D23D-401E-A465-6A77F408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D'Angelo</dc:creator>
  <cp:lastModifiedBy>Carlos D'Angelo</cp:lastModifiedBy>
  <cp:revision>3</cp:revision>
  <cp:lastPrinted>2017-07-13T21:46:00Z</cp:lastPrinted>
  <dcterms:created xsi:type="dcterms:W3CDTF">2017-08-22T12:51:00Z</dcterms:created>
  <dcterms:modified xsi:type="dcterms:W3CDTF">2017-08-22T12:56:00Z</dcterms:modified>
</cp:coreProperties>
</file>