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60D7" w:rsidRPr="00C860D7" w:rsidRDefault="00C860D7" w:rsidP="00C860D7">
      <w:pPr>
        <w:jc w:val="center"/>
        <w:rPr>
          <w:b/>
          <w:color w:val="8064A2" w:themeColor="accent4"/>
          <w:sz w:val="32"/>
          <w:szCs w:val="32"/>
        </w:rPr>
      </w:pPr>
      <w:r w:rsidRPr="00C860D7">
        <w:rPr>
          <w:b/>
          <w:color w:val="8064A2" w:themeColor="accent4"/>
          <w:sz w:val="32"/>
          <w:szCs w:val="32"/>
        </w:rPr>
        <w:t>RECIPIENTES GRADUADOS</w:t>
      </w:r>
    </w:p>
    <w:p w:rsidR="00C860D7" w:rsidRPr="00C860D7" w:rsidRDefault="00C860D7" w:rsidP="00C860D7">
      <w:pPr>
        <w:jc w:val="both"/>
        <w:rPr>
          <w:sz w:val="28"/>
          <w:szCs w:val="28"/>
        </w:rPr>
      </w:pPr>
      <w:r w:rsidRPr="00C860D7">
        <w:rPr>
          <w:sz w:val="28"/>
          <w:szCs w:val="28"/>
        </w:rPr>
        <w:t>Es un recipiente, que se usa en la medida del volumen de ingredientes líquidos o sólidos pulverizados o molidos. Normalmente, es transparente para que sea más sencilla la medición, con ayuda de las escalas métricas que tiene grabadas en sus paredes laterales.</w:t>
      </w:r>
    </w:p>
    <w:p w:rsidR="00EE5C00" w:rsidRDefault="00C860D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1147277</wp:posOffset>
            </wp:positionH>
            <wp:positionV relativeFrom="paragraph">
              <wp:posOffset>288817</wp:posOffset>
            </wp:positionV>
            <wp:extent cx="3097362" cy="2251494"/>
            <wp:effectExtent l="19050" t="0" r="7788" b="0"/>
            <wp:wrapNone/>
            <wp:docPr id="13" name="Imagen 13" descr="Resultado de imagen de recipientes gradu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recipientes gradua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62" cy="225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860D7"/>
    <w:rsid w:val="003624BB"/>
    <w:rsid w:val="004F326E"/>
    <w:rsid w:val="00613449"/>
    <w:rsid w:val="00C860D7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2017-12-09T18:35:00Z</dcterms:created>
  <dcterms:modified xsi:type="dcterms:W3CDTF">2017-12-09T18:37:00Z</dcterms:modified>
</cp:coreProperties>
</file>