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C2" w:rsidRPr="00E02C8F" w:rsidRDefault="000374C2" w:rsidP="000374C2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E02C8F">
        <w:t>Independencia</w:t>
      </w:r>
      <w:proofErr w:type="spellEnd"/>
      <w:r w:rsidRPr="00E02C8F">
        <w:t xml:space="preserve"> </w:t>
      </w:r>
      <w:proofErr w:type="spellStart"/>
      <w:r w:rsidRPr="00E02C8F">
        <w:t>logica</w:t>
      </w:r>
      <w:proofErr w:type="spellEnd"/>
      <w:r w:rsidRPr="00E02C8F">
        <w:t xml:space="preserve"> de </w:t>
      </w:r>
      <w:proofErr w:type="spellStart"/>
      <w:r w:rsidRPr="00E02C8F">
        <w:t>datos</w:t>
      </w:r>
      <w:proofErr w:type="spellEnd"/>
      <w:r w:rsidRPr="00E02C8F">
        <w:t>:</w:t>
      </w:r>
    </w:p>
    <w:p w:rsidR="000374C2" w:rsidRPr="00E02C8F" w:rsidRDefault="000374C2" w:rsidP="000374C2">
      <w:pPr>
        <w:autoSpaceDE w:val="0"/>
        <w:autoSpaceDN w:val="0"/>
        <w:adjustRightInd w:val="0"/>
        <w:rPr>
          <w:lang w:val="es-ES" w:eastAsia="es-CO"/>
        </w:rPr>
      </w:pPr>
      <w:r w:rsidRPr="00E02C8F">
        <w:rPr>
          <w:lang w:val="es-ES" w:eastAsia="es-CO"/>
        </w:rPr>
        <w:t>Es la capacidad de cambiar el esquema conceptual sin tener que cambiar los esquemas externos o los programas de aplicación. Es posible cambiar el esquema conceptual para expandir la base de datos (añadiendo un tipo de registro o un elemento de datos), para cambiar las restricciones o para reducir la base de datos (eliminando un tipo de registro o un elemento de datos). En el último caso, no deben verse afectados los esquemas externos que sólo se refiere a los datos restantes.</w:t>
      </w:r>
      <w:sdt>
        <w:sdtPr>
          <w:rPr>
            <w:lang w:val="es-ES" w:eastAsia="es-CO"/>
          </w:rPr>
          <w:id w:val="2024121694"/>
          <w:citation/>
        </w:sdtPr>
        <w:sdtContent>
          <w:r w:rsidRPr="00E02C8F">
            <w:rPr>
              <w:lang w:val="es-ES" w:eastAsia="es-CO"/>
            </w:rPr>
            <w:fldChar w:fldCharType="begin"/>
          </w:r>
          <w:r w:rsidRPr="00E02C8F">
            <w:rPr>
              <w:lang w:val="es-ES" w:eastAsia="es-CO"/>
            </w:rPr>
            <w:instrText xml:space="preserve">CITATION Ram \p 52 \l 3082 </w:instrText>
          </w:r>
          <w:r w:rsidRPr="00E02C8F">
            <w:rPr>
              <w:lang w:val="es-ES" w:eastAsia="es-CO"/>
            </w:rPr>
            <w:fldChar w:fldCharType="separate"/>
          </w:r>
          <w:r w:rsidRPr="00E02C8F">
            <w:rPr>
              <w:noProof/>
              <w:lang w:val="es-ES" w:eastAsia="es-CO"/>
            </w:rPr>
            <w:t xml:space="preserve"> (Ramez, pág. 52)</w:t>
          </w:r>
          <w:r w:rsidRPr="00E02C8F">
            <w:rPr>
              <w:lang w:val="es-ES" w:eastAsia="es-CO"/>
            </w:rPr>
            <w:fldChar w:fldCharType="end"/>
          </w:r>
        </w:sdtContent>
      </w:sdt>
    </w:p>
    <w:p w:rsidR="00644CBE" w:rsidRDefault="00644CBE">
      <w:bookmarkStart w:id="0" w:name="_GoBack"/>
      <w:bookmarkEnd w:id="0"/>
    </w:p>
    <w:sectPr w:rsidR="00644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C2"/>
    <w:rsid w:val="000374C2"/>
    <w:rsid w:val="006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4C828-DD71-4388-AFEE-C21E66BE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Ram</b:Tag>
    <b:SourceType>BookSection</b:SourceType>
    <b:Guid>{B8B92A48-3A3B-4584-95F5-EEC67AA01DEE}</b:Guid>
    <b:Title>Fundamentos de sistemas de bases de datos</b:Title>
    <b:Pages>982</b:Pages>
    <b:Author>
      <b:Author>
        <b:NameList>
          <b:Person>
            <b:Last>Ramez</b:Last>
            <b:First>Elmari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9670449F-5B54-4037-B170-275EB01E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2018-02-20T15:55:00Z</dcterms:created>
  <dcterms:modified xsi:type="dcterms:W3CDTF">2018-02-20T15:55:00Z</dcterms:modified>
</cp:coreProperties>
</file>