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4" w:rsidRPr="00DC35F7" w:rsidRDefault="00BA5912" w:rsidP="00BA5912">
      <w:pPr>
        <w:jc w:val="center"/>
        <w:rPr>
          <w:rFonts w:ascii="Arial" w:hAnsi="Arial" w:cs="Arial"/>
          <w:sz w:val="28"/>
          <w:szCs w:val="28"/>
        </w:rPr>
      </w:pPr>
      <w:r w:rsidRPr="00DC35F7">
        <w:rPr>
          <w:rFonts w:ascii="Arial" w:hAnsi="Arial" w:cs="Arial"/>
          <w:sz w:val="28"/>
          <w:szCs w:val="28"/>
        </w:rPr>
        <w:t>Introduction au domaine de l’orientation (CCO 101)</w:t>
      </w:r>
    </w:p>
    <w:p w:rsidR="00DC35F7" w:rsidRPr="00DC35F7" w:rsidRDefault="00DC35F7" w:rsidP="00BA5912">
      <w:pPr>
        <w:jc w:val="center"/>
        <w:rPr>
          <w:rFonts w:ascii="Arial" w:hAnsi="Arial" w:cs="Arial"/>
          <w:sz w:val="28"/>
          <w:szCs w:val="28"/>
        </w:rPr>
      </w:pPr>
    </w:p>
    <w:p w:rsidR="00E74935" w:rsidRDefault="00E74935" w:rsidP="00DC35F7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BIBLIOGRAPHIES</w:t>
      </w:r>
      <w:r w:rsidR="00DC35F7" w:rsidRPr="00DC35F7">
        <w:rPr>
          <w:rFonts w:ascii="Arial" w:hAnsi="Arial" w:cs="Arial"/>
          <w:b/>
          <w:i/>
          <w:iCs/>
          <w:sz w:val="28"/>
          <w:szCs w:val="28"/>
        </w:rPr>
        <w:t> </w:t>
      </w:r>
      <w:r w:rsidR="00DC35F7" w:rsidRPr="0055234F">
        <w:rPr>
          <w:rFonts w:ascii="Arial" w:hAnsi="Arial" w:cs="Arial"/>
          <w:b/>
          <w:i/>
          <w:iCs/>
          <w:sz w:val="28"/>
          <w:szCs w:val="28"/>
        </w:rPr>
        <w:t>:</w:t>
      </w:r>
      <w:r w:rsidR="00DC35F7" w:rsidRPr="0055234F">
        <w:rPr>
          <w:rFonts w:ascii="Arial" w:hAnsi="Arial" w:cs="Arial"/>
          <w:i/>
          <w:iCs/>
          <w:sz w:val="28"/>
          <w:szCs w:val="28"/>
        </w:rPr>
        <w:t xml:space="preserve"> 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Bacon, C. (2006). </w:t>
      </w:r>
      <w:r>
        <w:rPr>
          <w:rFonts w:ascii="Arial" w:hAnsi="Arial" w:cs="Arial"/>
          <w:i/>
          <w:iCs/>
          <w:lang w:val="fr-FR"/>
        </w:rPr>
        <w:t>Explicitation de l’interrelation identité professionnelle – éthique professionnelle à partir de savoirs théoriques et de savoirs pratiques : la situation de conseillères et de conseillers d’orientation exerçant au Québec.</w:t>
      </w:r>
      <w:r>
        <w:rPr>
          <w:rFonts w:ascii="Arial" w:hAnsi="Arial" w:cs="Arial"/>
          <w:lang w:val="fr-FR"/>
        </w:rPr>
        <w:t xml:space="preserve"> Thèse de doctorat non publiée, Faculté d’éducation, Université de Sherbrooke.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Beuscart</w:t>
      </w:r>
      <w:proofErr w:type="spellEnd"/>
      <w:r>
        <w:rPr>
          <w:rFonts w:ascii="Arial" w:hAnsi="Arial" w:cs="Arial"/>
          <w:lang w:val="fr-FR"/>
        </w:rPr>
        <w:t>-</w:t>
      </w:r>
      <w:proofErr w:type="spellStart"/>
      <w:r>
        <w:rPr>
          <w:rFonts w:ascii="Arial" w:hAnsi="Arial" w:cs="Arial"/>
          <w:lang w:val="fr-FR"/>
        </w:rPr>
        <w:t>Zéphir</w:t>
      </w:r>
      <w:proofErr w:type="spellEnd"/>
      <w:r>
        <w:rPr>
          <w:rFonts w:ascii="Arial" w:hAnsi="Arial" w:cs="Arial"/>
          <w:lang w:val="fr-FR"/>
        </w:rPr>
        <w:t xml:space="preserve">, M.-C., Naudy, P. et </w:t>
      </w:r>
      <w:proofErr w:type="spellStart"/>
      <w:r>
        <w:rPr>
          <w:rFonts w:ascii="Arial" w:hAnsi="Arial" w:cs="Arial"/>
          <w:lang w:val="fr-FR"/>
        </w:rPr>
        <w:t>Beuscart</w:t>
      </w:r>
      <w:proofErr w:type="spellEnd"/>
      <w:r>
        <w:rPr>
          <w:rFonts w:ascii="Arial" w:hAnsi="Arial" w:cs="Arial"/>
          <w:lang w:val="fr-FR"/>
        </w:rPr>
        <w:t xml:space="preserve">, R. (1986). Étude de la représentation du métier de conseiller d’orientation chez des élèves de terminale. </w:t>
      </w:r>
      <w:r>
        <w:rPr>
          <w:rFonts w:ascii="Arial" w:hAnsi="Arial" w:cs="Arial"/>
          <w:i/>
          <w:iCs/>
          <w:lang w:val="fr-FR"/>
        </w:rPr>
        <w:t>L’orientation scolaire et professionnelle, 15</w:t>
      </w:r>
      <w:r>
        <w:rPr>
          <w:rFonts w:ascii="Arial" w:hAnsi="Arial" w:cs="Arial"/>
          <w:lang w:val="fr-FR"/>
        </w:rPr>
        <w:t>(2), 115-136.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de-DE"/>
        </w:rPr>
        <w:t xml:space="preserve">Blin, J.-F. (1997). </w:t>
      </w:r>
      <w:r>
        <w:rPr>
          <w:rFonts w:ascii="Arial" w:hAnsi="Arial" w:cs="Arial"/>
          <w:i/>
          <w:iCs/>
          <w:lang w:val="fr-FR"/>
        </w:rPr>
        <w:t>Représentations, pratiques et identités professionnelles.</w:t>
      </w:r>
      <w:r>
        <w:rPr>
          <w:rFonts w:ascii="Arial" w:hAnsi="Arial" w:cs="Arial"/>
          <w:lang w:val="fr-FR"/>
        </w:rPr>
        <w:t xml:space="preserve"> Paris : L’Harmattan.</w:t>
      </w:r>
    </w:p>
    <w:p w:rsidR="0062320E" w:rsidRDefault="0062320E" w:rsidP="0062320E">
      <w:pPr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firstLine="36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Boivin, A. (1986). L’orientation d’ici l’an 2010. </w:t>
      </w:r>
      <w:r>
        <w:rPr>
          <w:rFonts w:ascii="Arial" w:hAnsi="Arial" w:cs="Arial"/>
          <w:i/>
          <w:iCs/>
          <w:lang w:val="fr-FR"/>
        </w:rPr>
        <w:t>L’orientation, 1</w:t>
      </w:r>
      <w:r>
        <w:rPr>
          <w:rFonts w:ascii="Arial" w:hAnsi="Arial" w:cs="Arial"/>
          <w:lang w:val="fr-FR"/>
        </w:rPr>
        <w:t>(1), 1-2.</w:t>
      </w:r>
    </w:p>
    <w:p w:rsidR="0062320E" w:rsidRDefault="0062320E" w:rsidP="0062320E">
      <w:pPr>
        <w:ind w:firstLine="360"/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de-DE"/>
        </w:rPr>
        <w:t>Boujut</w:t>
      </w:r>
      <w:proofErr w:type="spellEnd"/>
      <w:r>
        <w:rPr>
          <w:rFonts w:ascii="Arial" w:hAnsi="Arial" w:cs="Arial"/>
          <w:lang w:val="de-DE"/>
        </w:rPr>
        <w:t xml:space="preserve">, É. Et </w:t>
      </w:r>
      <w:proofErr w:type="spellStart"/>
      <w:r>
        <w:rPr>
          <w:rFonts w:ascii="Arial" w:hAnsi="Arial" w:cs="Arial"/>
          <w:lang w:val="de-DE"/>
        </w:rPr>
        <w:t>Bruchon</w:t>
      </w:r>
      <w:proofErr w:type="spellEnd"/>
      <w:r>
        <w:rPr>
          <w:rFonts w:ascii="Arial" w:hAnsi="Arial" w:cs="Arial"/>
          <w:lang w:val="de-DE"/>
        </w:rPr>
        <w:t xml:space="preserve">-Schweitzer, M. (2007). </w:t>
      </w:r>
      <w:r>
        <w:rPr>
          <w:rFonts w:ascii="Arial" w:hAnsi="Arial" w:cs="Arial"/>
          <w:lang w:val="fr-FR"/>
        </w:rPr>
        <w:t xml:space="preserve">Rôle de certains facteurs psychosociaux dans la réussite universitaire d’étudiants de première année. </w:t>
      </w:r>
      <w:r>
        <w:rPr>
          <w:rFonts w:ascii="Arial" w:hAnsi="Arial" w:cs="Arial"/>
          <w:i/>
          <w:iCs/>
          <w:lang w:val="fr-FR"/>
        </w:rPr>
        <w:t>L’orientation scolaire et professionnelle, 36</w:t>
      </w:r>
      <w:r>
        <w:rPr>
          <w:rFonts w:ascii="Arial" w:hAnsi="Arial" w:cs="Arial"/>
          <w:lang w:val="fr-FR"/>
        </w:rPr>
        <w:t>(2), 157-177.</w:t>
      </w:r>
    </w:p>
    <w:p w:rsidR="0062320E" w:rsidRDefault="0062320E" w:rsidP="0062320E">
      <w:pPr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Bujold, C. et </w:t>
      </w:r>
      <w:proofErr w:type="spellStart"/>
      <w:r>
        <w:rPr>
          <w:rFonts w:ascii="Arial" w:hAnsi="Arial" w:cs="Arial"/>
          <w:lang w:val="fr-FR"/>
        </w:rPr>
        <w:t>Gingras</w:t>
      </w:r>
      <w:proofErr w:type="spellEnd"/>
      <w:r>
        <w:rPr>
          <w:rFonts w:ascii="Arial" w:hAnsi="Arial" w:cs="Arial"/>
          <w:lang w:val="fr-FR"/>
        </w:rPr>
        <w:t xml:space="preserve">, M. (2000). </w:t>
      </w:r>
      <w:r>
        <w:rPr>
          <w:rFonts w:ascii="Arial" w:hAnsi="Arial" w:cs="Arial"/>
          <w:i/>
        </w:rPr>
        <w:t xml:space="preserve">Choix professionnel et développement de carrière : théories et recherches. </w:t>
      </w:r>
      <w:r>
        <w:rPr>
          <w:rFonts w:ascii="Arial" w:hAnsi="Arial" w:cs="Arial"/>
          <w:iCs/>
        </w:rPr>
        <w:t xml:space="preserve">Montréal </w:t>
      </w:r>
      <w:r>
        <w:rPr>
          <w:rFonts w:ascii="Arial" w:hAnsi="Arial" w:cs="Arial"/>
        </w:rPr>
        <w:t>: Gaëtan Morin</w:t>
      </w:r>
    </w:p>
    <w:p w:rsidR="0062320E" w:rsidRDefault="0062320E" w:rsidP="0062320E">
      <w:pPr>
        <w:ind w:left="708" w:hanging="348"/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Campeau</w:t>
      </w:r>
      <w:proofErr w:type="spellEnd"/>
      <w:r>
        <w:rPr>
          <w:rFonts w:ascii="Arial" w:hAnsi="Arial" w:cs="Arial"/>
        </w:rPr>
        <w:t xml:space="preserve">, R., </w:t>
      </w:r>
      <w:proofErr w:type="spellStart"/>
      <w:r>
        <w:rPr>
          <w:rFonts w:ascii="Arial" w:hAnsi="Arial" w:cs="Arial"/>
        </w:rPr>
        <w:t>Bibeau</w:t>
      </w:r>
      <w:proofErr w:type="spellEnd"/>
      <w:r>
        <w:rPr>
          <w:rFonts w:ascii="Arial" w:hAnsi="Arial" w:cs="Arial"/>
        </w:rPr>
        <w:t xml:space="preserve">, J.-P., Murphy, P. et </w:t>
      </w:r>
      <w:proofErr w:type="spellStart"/>
      <w:r>
        <w:rPr>
          <w:rFonts w:ascii="Arial" w:hAnsi="Arial" w:cs="Arial"/>
        </w:rPr>
        <w:t>Shewchuck</w:t>
      </w:r>
      <w:proofErr w:type="spellEnd"/>
      <w:r>
        <w:rPr>
          <w:rFonts w:ascii="Arial" w:hAnsi="Arial" w:cs="Arial"/>
        </w:rPr>
        <w:t xml:space="preserve">, J. (1997). </w:t>
      </w:r>
      <w:r>
        <w:rPr>
          <w:rFonts w:ascii="Arial" w:hAnsi="Arial" w:cs="Arial"/>
          <w:i/>
          <w:iCs/>
        </w:rPr>
        <w:t>Démarche d’intégration en sciences humaines.</w:t>
      </w:r>
      <w:r>
        <w:rPr>
          <w:rFonts w:ascii="Arial" w:hAnsi="Arial" w:cs="Arial"/>
        </w:rPr>
        <w:t xml:space="preserve"> Montréal : Gaétan Morin.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Cliche, L., Lamarche, J., </w:t>
      </w:r>
      <w:proofErr w:type="spellStart"/>
      <w:r>
        <w:rPr>
          <w:rFonts w:ascii="Arial" w:hAnsi="Arial" w:cs="Arial"/>
        </w:rPr>
        <w:t>Lizotte</w:t>
      </w:r>
      <w:proofErr w:type="spellEnd"/>
      <w:r>
        <w:rPr>
          <w:rFonts w:ascii="Arial" w:hAnsi="Arial" w:cs="Arial"/>
        </w:rPr>
        <w:t xml:space="preserve">, I. et Tremblay, G. (1997). </w:t>
      </w:r>
      <w:r>
        <w:rPr>
          <w:rFonts w:ascii="Arial" w:hAnsi="Arial" w:cs="Arial"/>
          <w:i/>
          <w:iCs/>
        </w:rPr>
        <w:t>Démarche d’intégration des acquis en sciences humaines.</w:t>
      </w:r>
      <w:r>
        <w:rPr>
          <w:rFonts w:ascii="Arial" w:hAnsi="Arial" w:cs="Arial"/>
        </w:rPr>
        <w:t xml:space="preserve"> Saint-Laurent, Québec : Éditions du Renouveau pédagogique.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Condamin</w:t>
      </w:r>
      <w:proofErr w:type="spellEnd"/>
      <w:r>
        <w:rPr>
          <w:rFonts w:ascii="Arial" w:hAnsi="Arial" w:cs="Arial"/>
        </w:rPr>
        <w:t xml:space="preserve">, A. (1997). Regard sur la profession de conseiller d’orientation à la fin d’une carrière bien remplie. </w:t>
      </w:r>
      <w:r>
        <w:rPr>
          <w:rFonts w:ascii="Arial" w:hAnsi="Arial" w:cs="Arial"/>
          <w:i/>
          <w:iCs/>
        </w:rPr>
        <w:t>L’Orientation, 10</w:t>
      </w:r>
      <w:r>
        <w:rPr>
          <w:rFonts w:ascii="Arial" w:hAnsi="Arial" w:cs="Arial"/>
        </w:rPr>
        <w:t>(1), 17-20.</w:t>
      </w:r>
    </w:p>
    <w:p w:rsidR="0062320E" w:rsidRDefault="0062320E" w:rsidP="0062320E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720"/>
          <w:tab w:val="left" w:pos="990"/>
          <w:tab w:val="left" w:pos="1440"/>
          <w:tab w:val="left" w:pos="1620"/>
          <w:tab w:val="left" w:pos="1890"/>
          <w:tab w:val="left" w:pos="2160"/>
          <w:tab w:val="left" w:pos="2340"/>
          <w:tab w:val="left" w:pos="2520"/>
          <w:tab w:val="left" w:pos="3060"/>
          <w:tab w:val="left" w:pos="3330"/>
          <w:tab w:val="left" w:pos="3600"/>
          <w:tab w:val="left" w:pos="3960"/>
          <w:tab w:val="left" w:pos="4230"/>
          <w:tab w:val="left" w:pos="4500"/>
          <w:tab w:val="left" w:pos="5040"/>
          <w:tab w:val="left" w:pos="5220"/>
          <w:tab w:val="left" w:pos="5580"/>
          <w:tab w:val="left" w:pos="5760"/>
          <w:tab w:val="left" w:pos="5940"/>
          <w:tab w:val="left" w:pos="6480"/>
          <w:tab w:val="left" w:pos="6750"/>
          <w:tab w:val="left" w:pos="7200"/>
          <w:tab w:val="left" w:pos="7920"/>
          <w:tab w:val="left" w:pos="8190"/>
        </w:tabs>
        <w:ind w:firstLine="36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900"/>
          <w:tab w:val="left" w:pos="990"/>
          <w:tab w:val="left" w:pos="1440"/>
          <w:tab w:val="left" w:pos="1620"/>
          <w:tab w:val="left" w:pos="1890"/>
          <w:tab w:val="left" w:pos="2160"/>
          <w:tab w:val="left" w:pos="2340"/>
          <w:tab w:val="left" w:pos="2520"/>
          <w:tab w:val="left" w:pos="3060"/>
          <w:tab w:val="left" w:pos="3330"/>
          <w:tab w:val="left" w:pos="3600"/>
          <w:tab w:val="left" w:pos="3960"/>
          <w:tab w:val="left" w:pos="4230"/>
          <w:tab w:val="left" w:pos="4500"/>
          <w:tab w:val="left" w:pos="5040"/>
          <w:tab w:val="left" w:pos="5220"/>
          <w:tab w:val="left" w:pos="5580"/>
          <w:tab w:val="left" w:pos="5760"/>
          <w:tab w:val="left" w:pos="5940"/>
          <w:tab w:val="left" w:pos="6480"/>
          <w:tab w:val="left" w:pos="6750"/>
          <w:tab w:val="left" w:pos="7200"/>
          <w:tab w:val="left" w:pos="7920"/>
          <w:tab w:val="left" w:pos="8190"/>
        </w:tabs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Dupont, P. et Pereira, M. (1996). Pour une meilleure compréhension des termes en orientation. </w:t>
      </w:r>
      <w:r>
        <w:rPr>
          <w:rFonts w:ascii="Arial" w:hAnsi="Arial" w:cs="Arial"/>
          <w:i/>
          <w:iCs/>
        </w:rPr>
        <w:t>Cahiers de la recherche en éducation, 3</w:t>
      </w:r>
      <w:r>
        <w:rPr>
          <w:rFonts w:ascii="Arial" w:hAnsi="Arial" w:cs="Arial"/>
        </w:rPr>
        <w:t>(1), 15-34.</w:t>
      </w:r>
    </w:p>
    <w:p w:rsidR="0062320E" w:rsidRDefault="0062320E" w:rsidP="0062320E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900"/>
          <w:tab w:val="left" w:pos="990"/>
          <w:tab w:val="left" w:pos="1440"/>
          <w:tab w:val="left" w:pos="1620"/>
          <w:tab w:val="left" w:pos="1890"/>
          <w:tab w:val="left" w:pos="2160"/>
          <w:tab w:val="left" w:pos="2340"/>
          <w:tab w:val="left" w:pos="2520"/>
          <w:tab w:val="left" w:pos="3060"/>
          <w:tab w:val="left" w:pos="3330"/>
          <w:tab w:val="left" w:pos="3600"/>
          <w:tab w:val="left" w:pos="3960"/>
          <w:tab w:val="left" w:pos="4230"/>
          <w:tab w:val="left" w:pos="4500"/>
          <w:tab w:val="left" w:pos="5040"/>
          <w:tab w:val="left" w:pos="5220"/>
          <w:tab w:val="left" w:pos="5580"/>
          <w:tab w:val="left" w:pos="5760"/>
          <w:tab w:val="left" w:pos="5940"/>
          <w:tab w:val="left" w:pos="6480"/>
          <w:tab w:val="left" w:pos="6750"/>
          <w:tab w:val="left" w:pos="7200"/>
          <w:tab w:val="left" w:pos="7920"/>
          <w:tab w:val="left" w:pos="8190"/>
        </w:tabs>
        <w:ind w:left="900" w:hanging="90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tabs>
          <w:tab w:val="left" w:pos="-1080"/>
          <w:tab w:val="left" w:pos="-720"/>
          <w:tab w:val="left" w:pos="0"/>
          <w:tab w:val="left" w:pos="360"/>
          <w:tab w:val="left" w:pos="540"/>
          <w:tab w:val="left" w:pos="900"/>
          <w:tab w:val="left" w:pos="990"/>
          <w:tab w:val="left" w:pos="1440"/>
          <w:tab w:val="left" w:pos="1620"/>
          <w:tab w:val="left" w:pos="1890"/>
          <w:tab w:val="left" w:pos="2160"/>
          <w:tab w:val="left" w:pos="2340"/>
          <w:tab w:val="left" w:pos="2520"/>
          <w:tab w:val="left" w:pos="3060"/>
          <w:tab w:val="left" w:pos="3330"/>
          <w:tab w:val="left" w:pos="3600"/>
          <w:tab w:val="left" w:pos="3960"/>
          <w:tab w:val="left" w:pos="4230"/>
          <w:tab w:val="left" w:pos="4500"/>
          <w:tab w:val="left" w:pos="5040"/>
          <w:tab w:val="left" w:pos="5220"/>
          <w:tab w:val="left" w:pos="5580"/>
          <w:tab w:val="left" w:pos="5760"/>
          <w:tab w:val="left" w:pos="5940"/>
          <w:tab w:val="left" w:pos="6480"/>
          <w:tab w:val="left" w:pos="6750"/>
          <w:tab w:val="left" w:pos="7200"/>
          <w:tab w:val="left" w:pos="7920"/>
          <w:tab w:val="left" w:pos="8190"/>
        </w:tabs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Guichard, J. et </w:t>
      </w:r>
      <w:proofErr w:type="spellStart"/>
      <w:r>
        <w:rPr>
          <w:rFonts w:ascii="Arial" w:hAnsi="Arial" w:cs="Arial"/>
        </w:rPr>
        <w:t>Huteau</w:t>
      </w:r>
      <w:proofErr w:type="spellEnd"/>
      <w:r>
        <w:rPr>
          <w:rFonts w:ascii="Arial" w:hAnsi="Arial" w:cs="Arial"/>
        </w:rPr>
        <w:t xml:space="preserve">, M. (2005). </w:t>
      </w:r>
      <w:r>
        <w:rPr>
          <w:rFonts w:ascii="Arial" w:hAnsi="Arial" w:cs="Arial"/>
          <w:i/>
          <w:iCs/>
        </w:rPr>
        <w:t>L’orientation scolaire et professionnelle.</w:t>
      </w:r>
      <w:r>
        <w:rPr>
          <w:rFonts w:ascii="Arial" w:hAnsi="Arial" w:cs="Arial"/>
        </w:rPr>
        <w:t xml:space="preserve"> Paris : </w:t>
      </w:r>
      <w:proofErr w:type="spellStart"/>
      <w:r>
        <w:rPr>
          <w:rFonts w:ascii="Arial" w:hAnsi="Arial" w:cs="Arial"/>
        </w:rPr>
        <w:t>Dunod</w:t>
      </w:r>
      <w:proofErr w:type="spellEnd"/>
      <w:r>
        <w:rPr>
          <w:rFonts w:ascii="Arial" w:hAnsi="Arial" w:cs="Arial"/>
        </w:rPr>
        <w:t>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Guichard, J. et </w:t>
      </w:r>
      <w:proofErr w:type="spellStart"/>
      <w:r>
        <w:rPr>
          <w:rFonts w:ascii="Arial" w:hAnsi="Arial" w:cs="Arial"/>
        </w:rPr>
        <w:t>Huteau</w:t>
      </w:r>
      <w:proofErr w:type="spellEnd"/>
      <w:r>
        <w:rPr>
          <w:rFonts w:ascii="Arial" w:hAnsi="Arial" w:cs="Arial"/>
        </w:rPr>
        <w:t xml:space="preserve">, M. (sous la 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.). (2007). </w:t>
      </w:r>
      <w:r>
        <w:rPr>
          <w:rFonts w:ascii="Arial" w:hAnsi="Arial" w:cs="Arial"/>
          <w:i/>
          <w:iCs/>
        </w:rPr>
        <w:t>Orientation et insertion professionnelle : 75 concepts clés.</w:t>
      </w:r>
      <w:r>
        <w:rPr>
          <w:rFonts w:ascii="Arial" w:hAnsi="Arial" w:cs="Arial"/>
        </w:rPr>
        <w:t xml:space="preserve"> Paris : </w:t>
      </w:r>
      <w:proofErr w:type="spellStart"/>
      <w:r>
        <w:rPr>
          <w:rFonts w:ascii="Arial" w:hAnsi="Arial" w:cs="Arial"/>
        </w:rPr>
        <w:t>Dunod</w:t>
      </w:r>
      <w:proofErr w:type="spellEnd"/>
      <w:r>
        <w:rPr>
          <w:rFonts w:ascii="Arial" w:hAnsi="Arial" w:cs="Arial"/>
        </w:rPr>
        <w:t>.</w:t>
      </w:r>
    </w:p>
    <w:p w:rsidR="0062320E" w:rsidRDefault="0062320E" w:rsidP="0062320E">
      <w:pPr>
        <w:ind w:left="36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</w:rPr>
        <w:t xml:space="preserve">Laflamme, C. et Petit, A. (sous la 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.). (1973). </w:t>
      </w:r>
      <w:r>
        <w:rPr>
          <w:rFonts w:ascii="Arial" w:hAnsi="Arial" w:cs="Arial"/>
          <w:i/>
          <w:iCs/>
        </w:rPr>
        <w:t>L’information scolaire et professionnelle dans l’orientation : approche multidisciplinaire.</w:t>
      </w:r>
      <w:r>
        <w:rPr>
          <w:rFonts w:ascii="Arial" w:hAnsi="Arial" w:cs="Arial"/>
        </w:rPr>
        <w:t xml:space="preserve"> Sherbrooke : Faculté des sciences de l’éducation. </w:t>
      </w:r>
      <w:proofErr w:type="spellStart"/>
      <w:r>
        <w:rPr>
          <w:rFonts w:ascii="Arial" w:hAnsi="Arial" w:cs="Arial"/>
          <w:lang w:val="nl-NL"/>
        </w:rPr>
        <w:t>Université</w:t>
      </w:r>
      <w:proofErr w:type="spellEnd"/>
      <w:r>
        <w:rPr>
          <w:rFonts w:ascii="Arial" w:hAnsi="Arial" w:cs="Arial"/>
          <w:lang w:val="nl-NL"/>
        </w:rPr>
        <w:t xml:space="preserve"> de </w:t>
      </w:r>
      <w:proofErr w:type="spellStart"/>
      <w:r>
        <w:rPr>
          <w:rFonts w:ascii="Arial" w:hAnsi="Arial" w:cs="Arial"/>
          <w:lang w:val="nl-NL"/>
        </w:rPr>
        <w:t>Sherbrooke</w:t>
      </w:r>
      <w:proofErr w:type="spellEnd"/>
      <w:r>
        <w:rPr>
          <w:rFonts w:ascii="Arial" w:hAnsi="Arial" w:cs="Arial"/>
          <w:lang w:val="nl-NL"/>
        </w:rPr>
        <w:t>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sz w:val="20"/>
          <w:lang w:val="nl-NL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proofErr w:type="spellStart"/>
      <w:r>
        <w:rPr>
          <w:rFonts w:ascii="Arial" w:hAnsi="Arial" w:cs="Arial"/>
        </w:rPr>
        <w:t>Boterf</w:t>
      </w:r>
      <w:proofErr w:type="spellEnd"/>
      <w:r>
        <w:rPr>
          <w:rFonts w:ascii="Arial" w:hAnsi="Arial" w:cs="Arial"/>
        </w:rPr>
        <w:t xml:space="preserve">, G. (2007). </w:t>
      </w:r>
      <w:r>
        <w:rPr>
          <w:rFonts w:ascii="Arial" w:hAnsi="Arial" w:cs="Arial"/>
          <w:i/>
        </w:rPr>
        <w:t>Professionnaliser, le modèle de la navigation professionnelle</w:t>
      </w:r>
      <w:r>
        <w:rPr>
          <w:rFonts w:ascii="Arial" w:hAnsi="Arial" w:cs="Arial"/>
        </w:rPr>
        <w:t>. Paris : Éditions d’Organisation.</w:t>
      </w:r>
    </w:p>
    <w:p w:rsidR="0062320E" w:rsidRDefault="0062320E" w:rsidP="0062320E">
      <w:pPr>
        <w:ind w:left="708" w:hanging="348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Legendre, R. (2005). </w:t>
      </w:r>
      <w:r>
        <w:rPr>
          <w:rFonts w:ascii="Arial" w:hAnsi="Arial" w:cs="Arial"/>
          <w:i/>
          <w:iCs/>
        </w:rPr>
        <w:t xml:space="preserve">Dictionnaire actuel de l’éducation. </w:t>
      </w:r>
      <w:r>
        <w:rPr>
          <w:rFonts w:ascii="Arial" w:hAnsi="Arial" w:cs="Arial"/>
        </w:rPr>
        <w:t>Montréal : Guérin.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Monnier, C. (1986). Identité et orientation. </w:t>
      </w:r>
      <w:r>
        <w:rPr>
          <w:rFonts w:ascii="Arial" w:hAnsi="Arial" w:cs="Arial"/>
          <w:i/>
          <w:iCs/>
          <w:lang w:val="fr-FR"/>
        </w:rPr>
        <w:t>L’orientation scolaire et professionnelle, 15</w:t>
      </w:r>
      <w:r>
        <w:rPr>
          <w:rFonts w:ascii="Arial" w:hAnsi="Arial" w:cs="Arial"/>
          <w:lang w:val="fr-FR"/>
        </w:rPr>
        <w:t>(2), 153-167.</w:t>
      </w:r>
    </w:p>
    <w:p w:rsidR="0062320E" w:rsidRDefault="0062320E" w:rsidP="0062320E">
      <w:pPr>
        <w:ind w:left="360"/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Mellouki</w:t>
      </w:r>
      <w:proofErr w:type="spellEnd"/>
      <w:r>
        <w:rPr>
          <w:rFonts w:ascii="Arial" w:hAnsi="Arial" w:cs="Arial"/>
          <w:lang w:val="fr-FR"/>
        </w:rPr>
        <w:t xml:space="preserve">, M. et Beauchemin, M. (1994). L’institutionnalisation, la crise et l’éclatement du champ de l’orientation scolaire et professionnelle au Québec. </w:t>
      </w:r>
      <w:r>
        <w:rPr>
          <w:rFonts w:ascii="Arial" w:hAnsi="Arial" w:cs="Arial"/>
          <w:i/>
          <w:iCs/>
          <w:lang w:val="fr-FR"/>
        </w:rPr>
        <w:t>L’orientation scolaire et professionnelle, 23</w:t>
      </w:r>
      <w:r>
        <w:rPr>
          <w:rFonts w:ascii="Arial" w:hAnsi="Arial" w:cs="Arial"/>
          <w:lang w:val="fr-FR"/>
        </w:rPr>
        <w:t>(4), 465-480.</w:t>
      </w:r>
    </w:p>
    <w:p w:rsidR="0062320E" w:rsidRDefault="0062320E" w:rsidP="0062320E">
      <w:pPr>
        <w:ind w:left="360"/>
        <w:jc w:val="both"/>
        <w:rPr>
          <w:rFonts w:ascii="Arial" w:hAnsi="Arial" w:cs="Arial"/>
          <w:sz w:val="20"/>
          <w:lang w:val="fr-FR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Ordre des conseillers et conseillères d’orientation et des </w:t>
      </w:r>
      <w:proofErr w:type="spellStart"/>
      <w:r>
        <w:rPr>
          <w:rFonts w:ascii="Arial" w:hAnsi="Arial" w:cs="Arial"/>
        </w:rPr>
        <w:t>psychoéducateurs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psychoéducatrices</w:t>
      </w:r>
      <w:proofErr w:type="spellEnd"/>
      <w:r>
        <w:rPr>
          <w:rFonts w:ascii="Arial" w:hAnsi="Arial" w:cs="Arial"/>
        </w:rPr>
        <w:t xml:space="preserve"> du Québec. (2004). </w:t>
      </w:r>
      <w:r>
        <w:rPr>
          <w:rFonts w:ascii="Arial" w:hAnsi="Arial" w:cs="Arial"/>
          <w:i/>
          <w:iCs/>
        </w:rPr>
        <w:t>Le profil des compétences générales des conseillers d’orientation.</w:t>
      </w:r>
      <w:r>
        <w:rPr>
          <w:rFonts w:ascii="Arial" w:hAnsi="Arial" w:cs="Arial"/>
        </w:rPr>
        <w:t xml:space="preserve"> Montréal : OCCOPPQ.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Ordre des conseillers et conseillères d’orientation et des </w:t>
      </w:r>
      <w:proofErr w:type="spellStart"/>
      <w:r>
        <w:rPr>
          <w:rFonts w:ascii="Arial" w:hAnsi="Arial" w:cs="Arial"/>
        </w:rPr>
        <w:t>psychoéducateurs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psychoéducatrices</w:t>
      </w:r>
      <w:proofErr w:type="spellEnd"/>
      <w:r>
        <w:rPr>
          <w:rFonts w:ascii="Arial" w:hAnsi="Arial" w:cs="Arial"/>
        </w:rPr>
        <w:t xml:space="preserve"> du Québec. (2004). L’orientation : une pratique en évolution (numéro spécial). </w:t>
      </w:r>
      <w:r>
        <w:rPr>
          <w:rFonts w:ascii="Arial" w:hAnsi="Arial" w:cs="Arial"/>
          <w:i/>
          <w:iCs/>
        </w:rPr>
        <w:t>En pratique, 1</w:t>
      </w:r>
      <w:r>
        <w:rPr>
          <w:rFonts w:ascii="Arial" w:hAnsi="Arial" w:cs="Arial"/>
        </w:rPr>
        <w:t>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Ordre professionnel des conseillers et conseillères d’orientation du Québec. (2000). États généraux de la profession : Colloque 2000 (numéro spécial). </w:t>
      </w:r>
      <w:r>
        <w:rPr>
          <w:rFonts w:ascii="Arial" w:hAnsi="Arial" w:cs="Arial"/>
          <w:i/>
          <w:iCs/>
        </w:rPr>
        <w:t>L’orientation, 13</w:t>
      </w:r>
      <w:r>
        <w:rPr>
          <w:rFonts w:ascii="Arial" w:hAnsi="Arial" w:cs="Arial"/>
        </w:rPr>
        <w:t>(1).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Pelletier, D., Bujold, R. et collaborateurs. (1984). </w:t>
      </w:r>
      <w:r>
        <w:rPr>
          <w:rFonts w:ascii="Arial" w:hAnsi="Arial" w:cs="Arial"/>
          <w:i/>
          <w:iCs/>
        </w:rPr>
        <w:t>Pour une approche éducative en orientation.</w:t>
      </w:r>
      <w:r>
        <w:rPr>
          <w:rFonts w:ascii="Arial" w:hAnsi="Arial" w:cs="Arial"/>
        </w:rPr>
        <w:t xml:space="preserve"> Chicoutimi, Québec : Gaétan Morin.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Sainsaulieu</w:t>
      </w:r>
      <w:proofErr w:type="spellEnd"/>
      <w:r>
        <w:rPr>
          <w:rFonts w:ascii="Arial" w:hAnsi="Arial" w:cs="Arial"/>
        </w:rPr>
        <w:t xml:space="preserve">, R. (1977). </w:t>
      </w:r>
      <w:r>
        <w:rPr>
          <w:rFonts w:ascii="Arial" w:hAnsi="Arial" w:cs="Arial"/>
          <w:i/>
          <w:iCs/>
        </w:rPr>
        <w:t>L’identité au travail : les effets culturels de l’organisation.</w:t>
      </w:r>
      <w:r>
        <w:rPr>
          <w:rFonts w:ascii="Arial" w:hAnsi="Arial" w:cs="Arial"/>
        </w:rPr>
        <w:t xml:space="preserve"> Paris : Presses de </w:t>
      </w:r>
      <w:smartTag w:uri="urn:schemas-microsoft-com:office:smarttags" w:element="PersonName">
        <w:smartTagPr>
          <w:attr w:name="ProductID" w:val="la Fondation"/>
        </w:smartTagPr>
        <w:r>
          <w:rPr>
            <w:rFonts w:ascii="Arial" w:hAnsi="Arial" w:cs="Arial"/>
          </w:rPr>
          <w:t>la Fondation</w:t>
        </w:r>
      </w:smartTag>
      <w:r>
        <w:rPr>
          <w:rFonts w:ascii="Arial" w:hAnsi="Arial" w:cs="Arial"/>
        </w:rPr>
        <w:t xml:space="preserve"> nationale des sciences politiques. 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Sorel, M. et </w:t>
      </w:r>
      <w:proofErr w:type="spellStart"/>
      <w:r>
        <w:rPr>
          <w:rFonts w:ascii="Arial" w:hAnsi="Arial" w:cs="Arial"/>
        </w:rPr>
        <w:t>Wittorski</w:t>
      </w:r>
      <w:proofErr w:type="spellEnd"/>
      <w:r>
        <w:rPr>
          <w:rFonts w:ascii="Arial" w:hAnsi="Arial" w:cs="Arial"/>
        </w:rPr>
        <w:t xml:space="preserve">, R. (2005). </w:t>
      </w:r>
      <w:r>
        <w:rPr>
          <w:rFonts w:ascii="Arial" w:hAnsi="Arial" w:cs="Arial"/>
          <w:i/>
          <w:iCs/>
        </w:rPr>
        <w:t>La professionnalisation en actes et en questions.</w:t>
      </w:r>
      <w:r>
        <w:rPr>
          <w:rFonts w:ascii="Arial" w:hAnsi="Arial" w:cs="Arial"/>
        </w:rPr>
        <w:t xml:space="preserve"> Paris : L’Harmattan.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Stringer, G. (1994). </w:t>
      </w:r>
      <w:r>
        <w:rPr>
          <w:rFonts w:ascii="Arial" w:hAnsi="Arial" w:cs="Arial"/>
          <w:i/>
          <w:iCs/>
        </w:rPr>
        <w:t xml:space="preserve">Une histoire de </w:t>
      </w:r>
      <w:smartTag w:uri="urn:schemas-microsoft-com:office:smarttags" w:element="PersonName">
        <w:smartTagPr>
          <w:attr w:name="ProductID" w:val="la Facult￩"/>
        </w:smartTagPr>
        <w:r>
          <w:rPr>
            <w:rFonts w:ascii="Arial" w:hAnsi="Arial" w:cs="Arial"/>
            <w:i/>
            <w:iCs/>
          </w:rPr>
          <w:t>la Faculté</w:t>
        </w:r>
      </w:smartTag>
      <w:r>
        <w:rPr>
          <w:rFonts w:ascii="Arial" w:hAnsi="Arial" w:cs="Arial"/>
          <w:i/>
          <w:iCs/>
        </w:rPr>
        <w:t xml:space="preserve"> des sciences de l’éducation de l’Université de Sherbrooke : des origines à 1975.</w:t>
      </w:r>
      <w:r>
        <w:rPr>
          <w:rFonts w:ascii="Arial" w:hAnsi="Arial" w:cs="Arial"/>
        </w:rPr>
        <w:t xml:space="preserve"> Sherbrooke : Éditions du CRP, Faculté d’éducation, Université de Sherbrooke.</w:t>
      </w:r>
    </w:p>
    <w:p w:rsidR="0062320E" w:rsidRDefault="0062320E" w:rsidP="0062320E">
      <w:pPr>
        <w:ind w:firstLine="360"/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Tremblay, J. (1993). Les débuts de la corporation.  </w:t>
      </w:r>
      <w:r>
        <w:rPr>
          <w:rFonts w:ascii="Arial" w:hAnsi="Arial" w:cs="Arial"/>
          <w:i/>
          <w:iCs/>
        </w:rPr>
        <w:t>L’Orientation, 6</w:t>
      </w:r>
      <w:r>
        <w:rPr>
          <w:rFonts w:ascii="Arial" w:hAnsi="Arial" w:cs="Arial"/>
        </w:rPr>
        <w:t>(3), 13-16.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Tremblay, J. (1994). Deux pionniers. </w:t>
      </w:r>
      <w:r>
        <w:rPr>
          <w:rFonts w:ascii="Arial" w:hAnsi="Arial" w:cs="Arial"/>
          <w:i/>
          <w:iCs/>
        </w:rPr>
        <w:t>L’Orientation, 7</w:t>
      </w:r>
      <w:r>
        <w:rPr>
          <w:rFonts w:ascii="Arial" w:hAnsi="Arial" w:cs="Arial"/>
        </w:rPr>
        <w:t>(2), 17-21.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Roche, P. (2001). La psychopédagogie de l’orientation professionnelle d’Antoine Léon et l’éducation à l’orientation aujourd’hui. </w:t>
      </w:r>
      <w:r>
        <w:rPr>
          <w:rFonts w:ascii="Arial" w:hAnsi="Arial" w:cs="Arial"/>
          <w:i/>
          <w:iCs/>
        </w:rPr>
        <w:t>L’Orientation scolaire et professionnelle, 30</w:t>
      </w:r>
      <w:r>
        <w:rPr>
          <w:rFonts w:ascii="Arial" w:hAnsi="Arial" w:cs="Arial"/>
        </w:rPr>
        <w:t>, 378-382.</w:t>
      </w:r>
    </w:p>
    <w:p w:rsidR="0062320E" w:rsidRDefault="0062320E" w:rsidP="0062320E">
      <w:pPr>
        <w:jc w:val="both"/>
        <w:rPr>
          <w:rFonts w:ascii="Arial" w:hAnsi="Arial" w:cs="Arial"/>
          <w:sz w:val="20"/>
        </w:rPr>
      </w:pPr>
    </w:p>
    <w:p w:rsidR="0062320E" w:rsidRDefault="0062320E" w:rsidP="0062320E">
      <w:pPr>
        <w:ind w:left="900" w:hanging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Roy, M. (sous la 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.). (2001). </w:t>
      </w:r>
      <w:r>
        <w:rPr>
          <w:rFonts w:ascii="Arial" w:hAnsi="Arial" w:cs="Arial"/>
          <w:i/>
          <w:iCs/>
        </w:rPr>
        <w:t>L’université : une fois entré, comment bien s’en sortir!</w:t>
      </w:r>
      <w:r>
        <w:rPr>
          <w:rFonts w:ascii="Arial" w:hAnsi="Arial" w:cs="Arial"/>
        </w:rPr>
        <w:t xml:space="preserve"> Sherbrooke : Services à la vie étudiante, Université de Sherbrooke.</w:t>
      </w:r>
    </w:p>
    <w:p w:rsidR="0062320E" w:rsidRDefault="0062320E" w:rsidP="0062320E">
      <w:pPr>
        <w:ind w:left="900" w:hanging="540"/>
        <w:jc w:val="both"/>
        <w:rPr>
          <w:rFonts w:ascii="Arial" w:hAnsi="Arial" w:cs="Arial"/>
          <w:sz w:val="20"/>
        </w:rPr>
      </w:pPr>
    </w:p>
    <w:p w:rsidR="00BA5912" w:rsidRPr="0055234F" w:rsidRDefault="0062320E" w:rsidP="0062320E">
      <w:pPr>
        <w:jc w:val="both"/>
        <w:rPr>
          <w:rFonts w:ascii="Arial" w:hAnsi="Arial" w:cs="Arial"/>
          <w:i/>
          <w:iCs/>
          <w:sz w:val="28"/>
          <w:szCs w:val="28"/>
        </w:rPr>
      </w:pPr>
      <w:proofErr w:type="spellStart"/>
      <w:r>
        <w:rPr>
          <w:rFonts w:ascii="Arial" w:hAnsi="Arial" w:cs="Arial"/>
        </w:rPr>
        <w:lastRenderedPageBreak/>
        <w:t>Wittorski</w:t>
      </w:r>
      <w:proofErr w:type="spellEnd"/>
      <w:r>
        <w:rPr>
          <w:rFonts w:ascii="Arial" w:hAnsi="Arial" w:cs="Arial"/>
        </w:rPr>
        <w:t xml:space="preserve">, R. (2005). </w:t>
      </w:r>
      <w:r>
        <w:rPr>
          <w:rFonts w:ascii="Arial" w:hAnsi="Arial" w:cs="Arial"/>
          <w:i/>
          <w:iCs/>
        </w:rPr>
        <w:t>Formation, travail et professionnalisation.</w:t>
      </w:r>
      <w:r>
        <w:rPr>
          <w:rFonts w:ascii="Arial" w:hAnsi="Arial" w:cs="Arial"/>
        </w:rPr>
        <w:t xml:space="preserve"> Paris : L’Harmattan.</w:t>
      </w:r>
    </w:p>
    <w:p w:rsidR="00BA5912" w:rsidRPr="0055234F" w:rsidRDefault="00BA5912">
      <w:pPr>
        <w:rPr>
          <w:rFonts w:ascii="Arial" w:hAnsi="Arial" w:cs="Arial"/>
          <w:sz w:val="28"/>
          <w:szCs w:val="28"/>
        </w:rPr>
      </w:pPr>
    </w:p>
    <w:sectPr w:rsidR="00BA5912" w:rsidRPr="0055234F" w:rsidSect="00100E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912"/>
    <w:rsid w:val="00100E94"/>
    <w:rsid w:val="004330E5"/>
    <w:rsid w:val="0055234F"/>
    <w:rsid w:val="0062320E"/>
    <w:rsid w:val="00B8478A"/>
    <w:rsid w:val="00BA5912"/>
    <w:rsid w:val="00DC35F7"/>
    <w:rsid w:val="00E74935"/>
    <w:rsid w:val="00EE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681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</dc:creator>
  <cp:lastModifiedBy>Mag</cp:lastModifiedBy>
  <cp:revision>5</cp:revision>
  <dcterms:created xsi:type="dcterms:W3CDTF">2008-12-08T15:56:00Z</dcterms:created>
  <dcterms:modified xsi:type="dcterms:W3CDTF">2008-12-08T20:29:00Z</dcterms:modified>
</cp:coreProperties>
</file>