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0" w:rsidRDefault="00DF563D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 xml:space="preserve">             </w:t>
      </w:r>
      <w:r w:rsidRPr="00DF563D">
        <w:rPr>
          <w:b/>
          <w:color w:val="C00000"/>
          <w:sz w:val="48"/>
        </w:rPr>
        <w:t>Configuracion del monitor</w:t>
      </w:r>
      <w:r>
        <w:rPr>
          <w:b/>
          <w:color w:val="C00000"/>
          <w:sz w:val="48"/>
        </w:rPr>
        <w:t xml:space="preserve"> </w:t>
      </w:r>
    </w:p>
    <w:p w:rsidR="00DF563D" w:rsidRPr="00DF563D" w:rsidRDefault="00DF563D" w:rsidP="00DF563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es-MX"/>
        </w:rPr>
      </w:pPr>
      <w:r w:rsidRPr="00DF563D"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>Para instalar el monitor, asegúrese de apagar el monitor, el equipo o cualquier otro dispositivo que esté conectado, luego siga los pasos que se describen a continuación: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Coloque el monitor próximo a su computadora en un lugar conveniente y con buena ventilación.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Conecte un extremo del cable de señal del monitor en el conector de vídeo que se encuentra en la parte trasera del equipo y el otro extremo del cable en la parte posterior del monitor.</w:t>
      </w:r>
    </w:p>
    <w:tbl>
      <w:tblPr>
        <w:tblW w:w="7950" w:type="dxa"/>
        <w:tblCellSpacing w:w="7" w:type="dxa"/>
        <w:tblInd w:w="210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3"/>
        <w:gridCol w:w="4313"/>
      </w:tblGrid>
      <w:tr w:rsidR="00DF563D" w:rsidRPr="00DF563D" w:rsidTr="00DF563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line="240" w:lineRule="auto"/>
              <w:divId w:val="841117004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es-MX"/>
              </w:rPr>
              <w:t>Figura1: Conexión del cable de señal VGA</w:t>
            </w:r>
          </w:p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es-MX"/>
              </w:rPr>
              <w:drawing>
                <wp:inline distT="0" distB="0" distL="0" distR="0">
                  <wp:extent cx="3248025" cy="2676525"/>
                  <wp:effectExtent l="19050" t="0" r="9525" b="0"/>
                  <wp:docPr id="1" name="Imagen 1" descr="http://h10025.www1.hp.com/ewfrf-JAVA/Doc/images/213/c002819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10025.www1.hp.com/ewfrf-JAVA/Doc/images/213/c002819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es-MX"/>
              </w:rPr>
              <w:t>figura 2: Conexión del cable de señal DVI-D</w:t>
            </w:r>
          </w:p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es-MX"/>
              </w:rPr>
              <w:drawing>
                <wp:inline distT="0" distB="0" distL="0" distR="0">
                  <wp:extent cx="3143250" cy="2752725"/>
                  <wp:effectExtent l="19050" t="0" r="0" b="0"/>
                  <wp:docPr id="2" name="Imagen 2" descr="http://h10025.www1.hp.com/ewfrf-JAVA/Doc/images/340/c002819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10025.www1.hp.com/ewfrf-JAVA/Doc/images/340/c002819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b/>
          <w:bCs/>
          <w:caps/>
          <w:color w:val="0066FF"/>
          <w:spacing w:val="5"/>
          <w:sz w:val="28"/>
          <w:szCs w:val="18"/>
          <w:lang w:eastAsia="es-MX"/>
        </w:rPr>
        <w:t>NOTA:</w:t>
      </w: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 xml:space="preserve"> El cable DVI-D que viene con los monitores se utiliza sólo para conexión digital-a-digital. Su equipo debe tener instalada una tarjeta gráfica que sea compatible con DVI para poder utilizar este cable.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lastRenderedPageBreak/>
        <w:t>Conecte un extremo del cable de alimentación a la parte trasera del monitor y el otro extremo a un tomacorriente.</w:t>
      </w:r>
    </w:p>
    <w:p w:rsidR="00DF563D" w:rsidRPr="00DF563D" w:rsidRDefault="00DF563D" w:rsidP="00DF563D">
      <w:p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noProof/>
          <w:color w:val="111111"/>
          <w:spacing w:val="5"/>
          <w:sz w:val="28"/>
          <w:szCs w:val="18"/>
          <w:lang w:eastAsia="es-MX"/>
        </w:rPr>
        <w:drawing>
          <wp:inline distT="0" distB="0" distL="0" distR="0">
            <wp:extent cx="1962150" cy="3067050"/>
            <wp:effectExtent l="19050" t="0" r="0" b="0"/>
            <wp:docPr id="3" name="Imagen 3" descr="http://h10025.www1.hp.com/ewfrf-JAVA/Doc/images/467/c00281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10025.www1.hp.com/ewfrf-JAVA/Doc/images/467/c002819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Ajuste el monitor según sea necesario para su comodidad utilizando los recursos de ajuste de inclinación, rotación y altura del monitor.</w:t>
      </w:r>
    </w:p>
    <w:tbl>
      <w:tblPr>
        <w:tblW w:w="7950" w:type="dxa"/>
        <w:tblCellSpacing w:w="7" w:type="dxa"/>
        <w:tblInd w:w="210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3"/>
        <w:gridCol w:w="3547"/>
        <w:gridCol w:w="2886"/>
      </w:tblGrid>
      <w:tr w:rsidR="00DF563D" w:rsidRPr="00DF563D" w:rsidTr="00DF563D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999999"/>
              <w:bottom w:val="single" w:sz="6" w:space="0" w:color="CCCCCC"/>
              <w:right w:val="single" w:sz="6" w:space="0" w:color="999999"/>
            </w:tcBorders>
            <w:shd w:val="clear" w:color="auto" w:fill="E7E7E7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F563D" w:rsidRPr="00DF563D" w:rsidRDefault="00DF563D" w:rsidP="00DF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Ajustes</w:t>
            </w:r>
          </w:p>
        </w:tc>
      </w:tr>
      <w:tr w:rsidR="00DF563D" w:rsidRPr="00DF563D" w:rsidTr="00DF563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09750" cy="2552700"/>
                  <wp:effectExtent l="19050" t="0" r="0" b="0"/>
                  <wp:docPr id="4" name="Imagen 4" descr="http://h10025.www1.hp.com/ewfrf-JAVA/Doc/images/594/c002819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10025.www1.hp.com/ewfrf-JAVA/Doc/images/594/c002819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600325" cy="2428875"/>
                  <wp:effectExtent l="19050" t="0" r="9525" b="0"/>
                  <wp:docPr id="5" name="Imagen 5" descr="http://h10025.www1.hp.com/ewfrf-JAVA/Doc/images/721/c002819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10025.www1.hp.com/ewfrf-JAVA/Doc/images/721/c002819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095500" cy="2600325"/>
                  <wp:effectExtent l="19050" t="0" r="0" b="0"/>
                  <wp:docPr id="6" name="Imagen 6" descr="http://h10025.www1.hp.com/ewfrf-JAVA/Doc/images/848/c0028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10025.www1.hp.com/ewfrf-JAVA/Doc/images/848/c0028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3D" w:rsidRPr="00DF563D" w:rsidRDefault="00DF563D" w:rsidP="00DF563D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lastRenderedPageBreak/>
        <w:t xml:space="preserve"> </w:t>
      </w:r>
      <w:r w:rsidRPr="00DF563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9525" cy="95250"/>
            <wp:effectExtent l="0" t="0" r="0" b="0"/>
            <wp:docPr id="9" name="Imagen 13" descr="http://www.learnthenet.tv/spanish/gif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arnthenet.tv/spanish/gif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3D" w:rsidRDefault="00DF563D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  <w:r w:rsidRPr="00DF563D">
        <w:rPr>
          <w:rFonts w:ascii="Arial" w:eastAsia="Times New Roman" w:hAnsi="Arial" w:cs="Arial"/>
          <w:noProof/>
          <w:color w:val="111111"/>
          <w:sz w:val="28"/>
          <w:szCs w:val="18"/>
          <w:shd w:val="clear" w:color="auto" w:fill="FFFFFF"/>
          <w:lang w:eastAsia="es-MX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33400"/>
            <wp:effectExtent l="19050" t="0" r="0" b="0"/>
            <wp:wrapSquare wrapText="bothSides"/>
            <wp:docPr id="10" name="Imagen 3" descr="http://www.learnthenet.tv/spanish/gifs/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arnthenet.tv/spanish/gifs/comput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63D"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>Es posible que ya se haya dado cuenta de que su monitor puede ser configurado con diferentes resoluciones de pantalla y para mostrar diferentes números de colores. Para una visualización óptima de las páginas web, le recomendamos que utilice una configuración de monitor de al menos 800 X 600 píxeles y con miles de colores. Aquí le indicamos cómo hacerlo.</w:t>
      </w:r>
      <w: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 xml:space="preserve"> </w:t>
      </w:r>
    </w:p>
    <w:p w:rsidR="00DF563D" w:rsidRDefault="00DF563D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Pr="005151BA" w:rsidRDefault="005151BA" w:rsidP="00DF563D">
      <w:pPr>
        <w:rPr>
          <w:rFonts w:ascii="Arial" w:eastAsia="Times New Roman" w:hAnsi="Arial" w:cs="Arial"/>
          <w:color w:val="1F497D" w:themeColor="text2"/>
          <w:sz w:val="36"/>
          <w:szCs w:val="18"/>
          <w:shd w:val="clear" w:color="auto" w:fill="FFFFFF"/>
          <w:lang w:eastAsia="es-MX"/>
        </w:rPr>
      </w:pPr>
      <w:r w:rsidRPr="005151BA">
        <w:rPr>
          <w:rFonts w:ascii="Arial" w:eastAsia="Times New Roman" w:hAnsi="Arial" w:cs="Arial"/>
          <w:color w:val="1F497D" w:themeColor="text2"/>
          <w:sz w:val="36"/>
          <w:szCs w:val="18"/>
          <w:shd w:val="clear" w:color="auto" w:fill="FFFFFF"/>
          <w:lang w:eastAsia="es-MX"/>
        </w:rPr>
        <w:t xml:space="preserve">Imágenes: </w:t>
      </w: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b/>
          <w:color w:val="1F497D" w:themeColor="text2"/>
          <w:sz w:val="36"/>
          <w:szCs w:val="18"/>
          <w:shd w:val="clear" w:color="auto" w:fill="FFFFFF"/>
          <w:lang w:eastAsia="es-MX"/>
        </w:rPr>
      </w:pPr>
    </w:p>
    <w:p w:rsidR="005151BA" w:rsidRPr="005151BA" w:rsidRDefault="005151BA" w:rsidP="00DF563D">
      <w:pPr>
        <w:rPr>
          <w:rFonts w:ascii="Arial" w:eastAsia="Times New Roman" w:hAnsi="Arial" w:cs="Arial"/>
          <w:b/>
          <w:color w:val="1F497D" w:themeColor="text2"/>
          <w:sz w:val="36"/>
          <w:szCs w:val="18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color w:val="1F497D" w:themeColor="text2"/>
          <w:sz w:val="36"/>
          <w:szCs w:val="18"/>
          <w:shd w:val="clear" w:color="auto" w:fill="FFFFFF"/>
          <w:lang w:eastAsia="es-MX"/>
        </w:rPr>
        <w:lastRenderedPageBreak/>
        <w:t xml:space="preserve">                           </w:t>
      </w:r>
      <w:r w:rsidRPr="005151BA">
        <w:rPr>
          <w:rFonts w:ascii="Arial" w:eastAsia="Times New Roman" w:hAnsi="Arial" w:cs="Arial"/>
          <w:b/>
          <w:color w:val="1F497D" w:themeColor="text2"/>
          <w:sz w:val="36"/>
          <w:szCs w:val="18"/>
          <w:shd w:val="clear" w:color="auto" w:fill="FFFFFF"/>
          <w:lang w:eastAsia="es-MX"/>
        </w:rPr>
        <w:t>Como se instala</w:t>
      </w:r>
    </w:p>
    <w:sectPr w:rsidR="005151BA" w:rsidRPr="005151BA" w:rsidSect="00DF563D">
      <w:pgSz w:w="12240" w:h="15840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0E07"/>
    <w:multiLevelType w:val="multilevel"/>
    <w:tmpl w:val="B6A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63D"/>
    <w:rsid w:val="004B0E50"/>
    <w:rsid w:val="005151BA"/>
    <w:rsid w:val="00775962"/>
    <w:rsid w:val="00D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563D"/>
    <w:rPr>
      <w:b/>
      <w:bCs/>
    </w:rPr>
  </w:style>
  <w:style w:type="character" w:customStyle="1" w:styleId="themebody">
    <w:name w:val="themebody"/>
    <w:basedOn w:val="Fuentedeprrafopredeter"/>
    <w:rsid w:val="00DF563D"/>
  </w:style>
  <w:style w:type="paragraph" w:styleId="Textodeglobo">
    <w:name w:val="Balloon Text"/>
    <w:basedOn w:val="Normal"/>
    <w:link w:val="TextodegloboCar"/>
    <w:uiPriority w:val="99"/>
    <w:semiHidden/>
    <w:unhideWhenUsed/>
    <w:rsid w:val="00D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9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1260</Characters>
  <Application>Microsoft Office Word</Application>
  <DocSecurity>0</DocSecurity>
  <Lines>10</Lines>
  <Paragraphs>2</Paragraphs>
  <ScaleCrop>false</ScaleCrop>
  <Company>Toshiba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4</cp:revision>
  <dcterms:created xsi:type="dcterms:W3CDTF">2013-02-08T18:03:00Z</dcterms:created>
  <dcterms:modified xsi:type="dcterms:W3CDTF">2013-02-28T17:57:00Z</dcterms:modified>
</cp:coreProperties>
</file>