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23" w:rsidRPr="00DF3623" w:rsidRDefault="00DF3623" w:rsidP="00DF3623">
      <w:pPr>
        <w:shd w:val="clear" w:color="auto" w:fill="FFFFFF"/>
        <w:spacing w:before="225" w:after="225" w:line="240" w:lineRule="auto"/>
        <w:outlineLvl w:val="2"/>
        <w:rPr>
          <w:rFonts w:ascii="Segoe UI" w:eastAsia="Times New Roman" w:hAnsi="Segoe UI" w:cs="Segoe UI"/>
          <w:color w:val="333333"/>
          <w:sz w:val="30"/>
          <w:szCs w:val="3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30"/>
          <w:szCs w:val="30"/>
          <w:lang w:val="es-ES" w:eastAsia="es-MX"/>
        </w:rPr>
        <w:t>Monitores</w:t>
      </w:r>
    </w:p>
    <w:p w:rsidR="00DF3623" w:rsidRPr="00DF3623" w:rsidRDefault="00DF3623" w:rsidP="00DF3623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Inicio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y, a continuación, 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Panel de Control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  <w:t>.</w:t>
      </w:r>
    </w:p>
    <w:p w:rsidR="00DF3623" w:rsidRPr="00DF3623" w:rsidRDefault="00DF3623" w:rsidP="00DF3623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apariencia y temas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 xml:space="preserve"> y, a continuación, 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Mostrar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  <w:t>.</w:t>
      </w:r>
    </w:p>
    <w:p w:rsidR="00DF3623" w:rsidRPr="00DF3623" w:rsidRDefault="00DF3623" w:rsidP="00DF3623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En la ficha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configuración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, 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identificar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para mostrar un número grande en cada uno de los monitores. Esto indica qué monitor se corresponde con cada icono.</w:t>
      </w:r>
    </w:p>
    <w:p w:rsidR="00DF3623" w:rsidRPr="00DF3623" w:rsidRDefault="00DF3623" w:rsidP="00DF3623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Haga clic en los iconos del monitor y arrástrelos a posiciones que representan cómo quiere mover los elementos de un monitor a otro y, a continuación, 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Aceptar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o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Aplicar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para ver los cambios.</w:t>
      </w:r>
    </w:p>
    <w:p w:rsidR="00DF3623" w:rsidRPr="00DF3623" w:rsidRDefault="00DF3623" w:rsidP="00DF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val="es-ES" w:eastAsia="es-MX"/>
        </w:rPr>
        <w:t>Nota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val="es-ES" w:eastAsia="es-MX"/>
        </w:rPr>
        <w:t>: las posiciones de los iconos determinan cómo mover los elementos de un monitor a otro. Por ejemplo, si utiliza a dos monitores y desea mover elementos de un monitor a otro arrastrándolos a la izquierda y derecha, coloque los iconos en paralelo. Para mover elementos entre monitores arrastrándolos arriba y hacia abajo, coloque los iconos uno encima del otro.</w:t>
      </w:r>
      <w:r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val="es-ES" w:eastAsia="es-MX"/>
        </w:rPr>
        <w:t xml:space="preserve"> 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val="es-ES" w:eastAsia="es-MX"/>
        </w:rPr>
        <w:t xml:space="preserve">Las posiciones de los iconos no </w:t>
      </w:r>
      <w:proofErr w:type="gramStart"/>
      <w:r w:rsidRPr="00DF3623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val="es-ES" w:eastAsia="es-MX"/>
        </w:rPr>
        <w:t>es</w:t>
      </w:r>
      <w:proofErr w:type="gramEnd"/>
      <w:r w:rsidRPr="00DF3623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val="es-ES" w:eastAsia="es-MX"/>
        </w:rPr>
        <w:t xml:space="preserve"> necesario para que se corresponda con la disposición física de los monitores. Puede colocar los iconos uno encima del otro aunque los monitores estén uno junto al otro.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  <w:br/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  <w:br/>
      </w:r>
    </w:p>
    <w:p w:rsidR="00DF3623" w:rsidRPr="00DF3623" w:rsidRDefault="00DF3623" w:rsidP="00DF3623">
      <w:pPr>
        <w:shd w:val="clear" w:color="auto" w:fill="FFFFFF"/>
        <w:spacing w:before="225" w:after="225" w:line="240" w:lineRule="auto"/>
        <w:outlineLvl w:val="2"/>
        <w:rPr>
          <w:rFonts w:ascii="Segoe UI" w:eastAsia="Times New Roman" w:hAnsi="Segoe UI" w:cs="Segoe UI"/>
          <w:color w:val="333333"/>
          <w:sz w:val="30"/>
          <w:szCs w:val="3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30"/>
          <w:szCs w:val="30"/>
          <w:lang w:val="es-ES" w:eastAsia="es-MX"/>
        </w:rPr>
        <w:t>Cambiar el Monitor principal</w:t>
      </w:r>
    </w:p>
    <w:p w:rsidR="00DF3623" w:rsidRPr="00DF3623" w:rsidRDefault="00DF3623" w:rsidP="00DF3623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En la ficha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configuración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del cuadro de diálogo Propiedades de pantalla, haga clic en el icono del monitor que representa al monitor que desee designar como monitor principal.</w:t>
      </w:r>
    </w:p>
    <w:p w:rsidR="00DF3623" w:rsidRPr="00DF3623" w:rsidRDefault="00DF3623" w:rsidP="00DF3623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Haga clic para activar la casilla de verificación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 xml:space="preserve">usar este dispositivo como monitor </w:t>
      </w:r>
      <w:bookmarkStart w:id="0" w:name="_GoBack"/>
      <w:bookmarkEnd w:id="0"/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principal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. Tenga en cuenta que esta casilla de verificación no está disponible cuando se selecciona el icono del monitor que está establecido actualmente como monitor principal.</w:t>
      </w:r>
    </w:p>
    <w:p w:rsidR="00DF3623" w:rsidRPr="00DF3623" w:rsidRDefault="00DF3623" w:rsidP="00DF3623">
      <w:pPr>
        <w:shd w:val="clear" w:color="auto" w:fill="FFFFFF"/>
        <w:spacing w:before="225" w:after="225" w:line="240" w:lineRule="auto"/>
        <w:outlineLvl w:val="2"/>
        <w:rPr>
          <w:rFonts w:ascii="Segoe UI" w:eastAsia="Times New Roman" w:hAnsi="Segoe UI" w:cs="Segoe UI"/>
          <w:color w:val="333333"/>
          <w:sz w:val="30"/>
          <w:szCs w:val="3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30"/>
          <w:szCs w:val="30"/>
          <w:lang w:val="es-ES" w:eastAsia="es-MX"/>
        </w:rPr>
        <w:t>Ver el mismo escritorio en varios monitores</w:t>
      </w:r>
    </w:p>
    <w:p w:rsidR="00DF3623" w:rsidRPr="00DF3623" w:rsidRDefault="00DF3623" w:rsidP="00DF362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En la ficha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configuración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del cuadro de diálogo Propiedades de pantalla, haga clic en el icono del monitor que representa al monitor que desea utilizar además de su monitor principal.</w:t>
      </w:r>
    </w:p>
    <w:p w:rsidR="00DF3623" w:rsidRPr="00DF3623" w:rsidRDefault="00DF3623" w:rsidP="00DF362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Haga clic para activar la casilla de verificación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 xml:space="preserve">Extender el escritorio de Windows a este </w:t>
      </w:r>
      <w:proofErr w:type="gramStart"/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monitor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. </w:t>
      </w:r>
      <w:proofErr w:type="gramEnd"/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Después de habilitar esta característica, puede arrastrar elementos a través de la pantalla a monitores alternativos. O bien, puede cambiar el tamaño de una ventana para extenderla por más de un monitor.</w:t>
      </w:r>
    </w:p>
    <w:p w:rsidR="00DF3623" w:rsidRPr="00DF3623" w:rsidRDefault="00DF3623" w:rsidP="00DF3623">
      <w:pPr>
        <w:shd w:val="clear" w:color="auto" w:fill="FFFFFF"/>
        <w:spacing w:before="225" w:after="225" w:line="240" w:lineRule="auto"/>
        <w:outlineLvl w:val="2"/>
        <w:rPr>
          <w:rFonts w:ascii="Segoe UI" w:eastAsia="Times New Roman" w:hAnsi="Segoe UI" w:cs="Segoe UI"/>
          <w:color w:val="333333"/>
          <w:sz w:val="30"/>
          <w:szCs w:val="3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30"/>
          <w:szCs w:val="30"/>
          <w:lang w:val="es-ES" w:eastAsia="es-MX"/>
        </w:rPr>
        <w:t>Mover elementos entre monitores</w:t>
      </w:r>
    </w:p>
    <w:p w:rsidR="00DF3623" w:rsidRPr="00DF3623" w:rsidRDefault="00DF3623" w:rsidP="00DF3623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En la ficha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configuración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del cuadro de diálogo Propiedades de pantalla, 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identificar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para mostrar un número grande en cada uno de los monitores. Esto indica qué monitor se corresponde con cada icono.</w:t>
      </w:r>
    </w:p>
    <w:p w:rsidR="00DF3623" w:rsidRPr="00DF3623" w:rsidRDefault="00DF3623" w:rsidP="00DF3623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Haga clic en los iconos del monitor y arrástrelos a posiciones que representan cómo quiere mover los elementos de un monitor a otro y, a continuación, haga clic en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Aceptar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 o </w:t>
      </w:r>
      <w:r w:rsidRPr="00DF3623"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s-ES" w:eastAsia="es-MX"/>
        </w:rPr>
        <w:t>Aplicar</w:t>
      </w:r>
      <w:r w:rsidRPr="00DF3623"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  <w:t>.</w:t>
      </w:r>
    </w:p>
    <w:p w:rsidR="00DF3623" w:rsidRPr="00DF3623" w:rsidRDefault="00DF3623" w:rsidP="00DF3623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rPr>
          <w:rFonts w:ascii="Segoe UI" w:eastAsia="Times New Roman" w:hAnsi="Segoe UI" w:cs="Segoe UI"/>
          <w:color w:val="333333"/>
          <w:sz w:val="20"/>
          <w:szCs w:val="20"/>
          <w:lang w:eastAsia="es-MX"/>
        </w:rPr>
      </w:pPr>
      <w:r w:rsidRPr="00DF3623">
        <w:rPr>
          <w:rFonts w:ascii="Segoe UI" w:eastAsia="Times New Roman" w:hAnsi="Segoe UI" w:cs="Segoe UI"/>
          <w:color w:val="333333"/>
          <w:sz w:val="20"/>
          <w:szCs w:val="20"/>
          <w:lang w:val="es-ES" w:eastAsia="es-MX"/>
        </w:rPr>
        <w:t>Arrastre un elemento en el escritorio a través de la pantalla hasta que aparezca en el monitor alternativo. O bien, puede cambiar el tamaño de una ventana para extenderla por más de un monitor.</w:t>
      </w:r>
    </w:p>
    <w:p w:rsidR="000C69C3" w:rsidRPr="00DF3623" w:rsidRDefault="000C69C3" w:rsidP="00DF3623"/>
    <w:sectPr w:rsidR="000C69C3" w:rsidRPr="00DF3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C0B"/>
    <w:multiLevelType w:val="multilevel"/>
    <w:tmpl w:val="79B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037C"/>
    <w:multiLevelType w:val="multilevel"/>
    <w:tmpl w:val="DBD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A6379"/>
    <w:multiLevelType w:val="multilevel"/>
    <w:tmpl w:val="D46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39ED"/>
    <w:multiLevelType w:val="multilevel"/>
    <w:tmpl w:val="FD62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F3103"/>
    <w:multiLevelType w:val="multilevel"/>
    <w:tmpl w:val="1D1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072E9"/>
    <w:multiLevelType w:val="multilevel"/>
    <w:tmpl w:val="426820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8AB6F6B"/>
    <w:multiLevelType w:val="multilevel"/>
    <w:tmpl w:val="7D0E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9520E"/>
    <w:multiLevelType w:val="multilevel"/>
    <w:tmpl w:val="3406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F4688"/>
    <w:multiLevelType w:val="multilevel"/>
    <w:tmpl w:val="FFAA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E4660"/>
    <w:multiLevelType w:val="multilevel"/>
    <w:tmpl w:val="1E4E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87315"/>
    <w:multiLevelType w:val="multilevel"/>
    <w:tmpl w:val="92A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9067E"/>
    <w:multiLevelType w:val="multilevel"/>
    <w:tmpl w:val="9B1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9"/>
    <w:rsid w:val="00033CE9"/>
    <w:rsid w:val="000C69C3"/>
    <w:rsid w:val="00D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C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C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02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2407">
                                  <w:marLeft w:val="27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80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23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57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52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638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55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6146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0221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4978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4943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0429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72319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9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11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289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9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0156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4820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2789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612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313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8609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79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8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5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32470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76576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099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394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89988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575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304584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650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0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8049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2949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752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1008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7423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105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422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29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574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1257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65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16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9334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82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88994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51901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90964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9930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1331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33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79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006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23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9551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2407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8914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877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0014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6323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7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8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9193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131147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467122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362723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638294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097920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61479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8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37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41540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518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966365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74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009695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842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69649">
                                                      <w:marLeft w:val="0"/>
                                                      <w:marRight w:val="30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42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2301</Characters>
  <Application>Microsoft Office Word</Application>
  <DocSecurity>0</DocSecurity>
  <Lines>19</Lines>
  <Paragraphs>5</Paragraphs>
  <ScaleCrop>false</ScaleCrop>
  <Company>cobaez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usuario</cp:lastModifiedBy>
  <cp:revision>2</cp:revision>
  <dcterms:created xsi:type="dcterms:W3CDTF">2013-02-10T03:16:00Z</dcterms:created>
  <dcterms:modified xsi:type="dcterms:W3CDTF">2013-05-05T22:38:00Z</dcterms:modified>
</cp:coreProperties>
</file>