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DDFB" w14:textId="77777777" w:rsidR="002547D5" w:rsidRPr="002547D5" w:rsidRDefault="002547D5" w:rsidP="002547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  <w:lang w:val="es-EC"/>
        </w:rPr>
      </w:pPr>
      <w:r w:rsidRPr="002547D5">
        <w:rPr>
          <w:rFonts w:ascii="Arial" w:hAnsi="Arial" w:cs="Arial"/>
          <w:color w:val="333333"/>
          <w:sz w:val="21"/>
          <w:szCs w:val="21"/>
          <w:lang w:val="es-EC"/>
        </w:rPr>
        <w:t>La</w:t>
      </w:r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 externalización logística 4PL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 es el </w:t>
      </w:r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nivel más alto de subcontratación que una empresa puede realizar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, dentro de la siguiente escala:</w:t>
      </w:r>
    </w:p>
    <w:p w14:paraId="5AA9BD53" w14:textId="77777777" w:rsidR="002547D5" w:rsidRPr="002547D5" w:rsidRDefault="002547D5" w:rsidP="002547D5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color w:val="333333"/>
          <w:sz w:val="21"/>
          <w:szCs w:val="21"/>
          <w:lang w:val="es-EC"/>
        </w:rPr>
      </w:pPr>
      <w:r w:rsidRPr="002547D5">
        <w:rPr>
          <w:rStyle w:val="Textoennegrita"/>
          <w:rFonts w:ascii="Arial" w:hAnsi="Arial" w:cs="Arial"/>
          <w:color w:val="333333"/>
          <w:sz w:val="21"/>
          <w:szCs w:val="21"/>
          <w:lang w:val="es-EC"/>
        </w:rPr>
        <w:t>1PL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 (</w:t>
      </w:r>
      <w:proofErr w:type="spellStart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>First</w:t>
      </w:r>
      <w:proofErr w:type="spellEnd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 xml:space="preserve"> </w:t>
      </w:r>
      <w:proofErr w:type="spellStart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>Party</w:t>
      </w:r>
      <w:proofErr w:type="spellEnd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 xml:space="preserve"> Logistics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): subcontratación del </w:t>
      </w:r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transporte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.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br/>
      </w:r>
      <w:r w:rsidRPr="002547D5">
        <w:rPr>
          <w:rStyle w:val="Textoennegrita"/>
          <w:rFonts w:ascii="Arial" w:hAnsi="Arial" w:cs="Arial"/>
          <w:color w:val="333333"/>
          <w:sz w:val="21"/>
          <w:szCs w:val="21"/>
          <w:lang w:val="es-EC"/>
        </w:rPr>
        <w:t>2PL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 (</w:t>
      </w:r>
      <w:proofErr w:type="spellStart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>Second</w:t>
      </w:r>
      <w:proofErr w:type="spellEnd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 xml:space="preserve"> </w:t>
      </w:r>
      <w:proofErr w:type="spellStart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>Party</w:t>
      </w:r>
      <w:proofErr w:type="spellEnd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 xml:space="preserve"> Logistics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): externalización de </w:t>
      </w:r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transporte y almacenaje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.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br/>
      </w:r>
      <w:r w:rsidRPr="002547D5">
        <w:rPr>
          <w:rStyle w:val="Textoennegrita"/>
          <w:rFonts w:ascii="Arial" w:hAnsi="Arial" w:cs="Arial"/>
          <w:color w:val="333333"/>
          <w:sz w:val="21"/>
          <w:szCs w:val="21"/>
          <w:lang w:val="es-EC"/>
        </w:rPr>
        <w:t>3PL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 (</w:t>
      </w:r>
      <w:proofErr w:type="spellStart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>Third</w:t>
      </w:r>
      <w:proofErr w:type="spellEnd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 xml:space="preserve"> </w:t>
      </w:r>
      <w:proofErr w:type="spellStart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>Party</w:t>
      </w:r>
      <w:proofErr w:type="spellEnd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 xml:space="preserve"> Logistics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): externalización en la que la </w:t>
      </w:r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gestión de las herramientas informáticas responsables de la gestión de la cadena de suministro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 están en manos del operador.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br/>
      </w:r>
      <w:bookmarkStart w:id="0" w:name="_GoBack"/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4PL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 (</w:t>
      </w:r>
      <w:proofErr w:type="spellStart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>Fourth</w:t>
      </w:r>
      <w:proofErr w:type="spellEnd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 xml:space="preserve"> </w:t>
      </w:r>
      <w:proofErr w:type="spellStart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>Party</w:t>
      </w:r>
      <w:proofErr w:type="spellEnd"/>
      <w:r w:rsidRPr="002547D5">
        <w:rPr>
          <w:rStyle w:val="nfasis"/>
          <w:rFonts w:ascii="Arial" w:hAnsi="Arial" w:cs="Arial"/>
          <w:color w:val="333333"/>
          <w:sz w:val="21"/>
          <w:szCs w:val="21"/>
          <w:lang w:val="es-EC"/>
        </w:rPr>
        <w:t xml:space="preserve"> Logistics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 xml:space="preserve">): </w:t>
      </w:r>
      <w:bookmarkEnd w:id="0"/>
      <w:r w:rsidRPr="002547D5">
        <w:rPr>
          <w:rFonts w:ascii="Arial" w:hAnsi="Arial" w:cs="Arial"/>
          <w:color w:val="333333"/>
          <w:sz w:val="21"/>
          <w:szCs w:val="21"/>
          <w:lang w:val="es-EC"/>
        </w:rPr>
        <w:t>el operador logístico se hace responsable de </w:t>
      </w:r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toda operación logística de una empresa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, incluido el desarrollo estratégico de la misma.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br/>
        <w:t>Contratar un operador logístico 4PL significa que la empresa en cuestión quiere, por así decirlo, </w:t>
      </w:r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olvidarse de la gestión de su cadena de suministro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. El operador pasa a ser el responsable de coordinar todos los procesos logísticos, hasta de actividades tan importantes como el aprovisionamiento de la materia prima, la gestión de los indicadores de la gestión logística y las relaciones con los clientes. El operador 4PL se convierte en el gerente y el responsable administrativo de esta área de la empresa.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br/>
        <w:t>Las </w:t>
      </w:r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ventajas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 que ofrece contratar un operador logístico 4PL están en que éste </w:t>
      </w:r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ya cuenta con una infraestructura de personal y tecnológica que pone a disposición de los clientes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, evitando que tengan que asumir ese coste en exclusiva, ya que el operador, sumando clientes, consigue una masa crítica que hace que los procesos sean más eficientes, proporcionando ahorros a quien le contrata. Además, puede proporcionar un mejor nivel de servicio debido a su mejor conocimiento, gracias a la experiencia acumulada, de los sectores en los que trabaja. En definitiva, es la opción de las empresas que optan por concentrarse en el desarrollo y producción de sus mercancías, y delegar la gestión del aprovisionamiento y la distribución.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br/>
        <w:t>Las relaciones entre un operador 4PL y la empresa cliente suelen ser </w:t>
      </w:r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contratos a largo plazo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 y la relación entre ambas partes se basa en compartir riesgos y beneficios. Además, teniendo el alto nivel de integración del operador con el cliente, se incluyen cláusulas de confidencialidad bastante estrictas.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br/>
        <w:t>Sin embargo, esta solución logística no se adapta a todo tipo de empresas. Se adecúa mejor a </w:t>
      </w:r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 xml:space="preserve">sectores con alto nivel en </w:t>
      </w:r>
      <w:proofErr w:type="spellStart"/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i+d+i</w:t>
      </w:r>
      <w:proofErr w:type="spellEnd"/>
      <w:r w:rsidRPr="002547D5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lang w:val="es-EC"/>
        </w:rPr>
        <w:t>, como el tecnológico o el farmacéutico</w:t>
      </w:r>
      <w:r w:rsidRPr="002547D5">
        <w:rPr>
          <w:rFonts w:ascii="Arial" w:hAnsi="Arial" w:cs="Arial"/>
          <w:color w:val="333333"/>
          <w:sz w:val="21"/>
          <w:szCs w:val="21"/>
          <w:lang w:val="es-EC"/>
        </w:rPr>
        <w:t>.</w:t>
      </w:r>
    </w:p>
    <w:p w14:paraId="193FBFD3" w14:textId="77777777" w:rsidR="00CB1BC5" w:rsidRPr="002547D5" w:rsidRDefault="00CB1BC5" w:rsidP="002547D5">
      <w:pPr>
        <w:spacing w:line="276" w:lineRule="auto"/>
        <w:jc w:val="both"/>
        <w:rPr>
          <w:lang w:val="es-EC"/>
        </w:rPr>
      </w:pPr>
    </w:p>
    <w:sectPr w:rsidR="00CB1BC5" w:rsidRPr="00254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C2"/>
    <w:rsid w:val="002547D5"/>
    <w:rsid w:val="00AE72C2"/>
    <w:rsid w:val="00C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502E5-263F-4437-ADE4-4C0C82FD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47D5"/>
    <w:rPr>
      <w:b/>
      <w:bCs/>
    </w:rPr>
  </w:style>
  <w:style w:type="character" w:styleId="nfasis">
    <w:name w:val="Emphasis"/>
    <w:basedOn w:val="Fuentedeprrafopredeter"/>
    <w:uiPriority w:val="20"/>
    <w:qFormat/>
    <w:rsid w:val="00254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3</cp:revision>
  <dcterms:created xsi:type="dcterms:W3CDTF">2020-11-22T11:54:00Z</dcterms:created>
  <dcterms:modified xsi:type="dcterms:W3CDTF">2020-11-22T11:56:00Z</dcterms:modified>
</cp:coreProperties>
</file>