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F5" w:rsidRDefault="00B40CB9" w:rsidP="00B40CB9">
      <w:pPr>
        <w:jc w:val="both"/>
        <w:rPr>
          <w:rFonts w:ascii="Times New Roman" w:hAnsi="Times New Roman" w:cs="Times New Roman"/>
          <w:b/>
        </w:rPr>
      </w:pPr>
      <w:r w:rsidRPr="00B40CB9">
        <w:rPr>
          <w:rFonts w:ascii="Times New Roman" w:hAnsi="Times New Roman" w:cs="Times New Roman"/>
          <w:b/>
        </w:rPr>
        <w:t>LEY 17/2007</w:t>
      </w:r>
    </w:p>
    <w:p w:rsidR="00851945" w:rsidRDefault="00851945" w:rsidP="00851945">
      <w:pPr>
        <w:autoSpaceDE w:val="0"/>
        <w:autoSpaceDN w:val="0"/>
        <w:adjustRightInd w:val="0"/>
        <w:spacing w:after="0" w:line="240" w:lineRule="auto"/>
        <w:jc w:val="both"/>
        <w:rPr>
          <w:rFonts w:ascii="NewsGotT-Regu" w:hAnsi="NewsGotT-Regu" w:cs="NewsGotT-Regu"/>
          <w:sz w:val="20"/>
          <w:szCs w:val="20"/>
        </w:rPr>
      </w:pPr>
      <w:r>
        <w:rPr>
          <w:rFonts w:ascii="NewsGotT-Regu" w:hAnsi="NewsGotT-Regu" w:cs="NewsGotT-Regu"/>
          <w:sz w:val="20"/>
          <w:szCs w:val="20"/>
        </w:rPr>
        <w:t>Página nº34</w:t>
      </w:r>
    </w:p>
    <w:p w:rsidR="00B40CB9" w:rsidRDefault="00B40CB9" w:rsidP="00851945">
      <w:pPr>
        <w:autoSpaceDE w:val="0"/>
        <w:autoSpaceDN w:val="0"/>
        <w:adjustRightInd w:val="0"/>
        <w:spacing w:after="0" w:line="240" w:lineRule="auto"/>
        <w:jc w:val="both"/>
        <w:rPr>
          <w:rFonts w:ascii="NewsGotT-Regu" w:hAnsi="NewsGotT-Regu" w:cs="NewsGotT-Regu"/>
          <w:sz w:val="20"/>
          <w:szCs w:val="20"/>
        </w:rPr>
      </w:pPr>
      <w:r>
        <w:rPr>
          <w:rFonts w:ascii="NewsGotT-Regu" w:hAnsi="NewsGotT-Regu" w:cs="NewsGotT-Regu"/>
          <w:sz w:val="20"/>
          <w:szCs w:val="20"/>
        </w:rPr>
        <w:t>Garantía de la estabilidad laboral del personal interino de la especialidad de educación física</w:t>
      </w:r>
      <w:r w:rsidR="00851945">
        <w:rPr>
          <w:rFonts w:ascii="NewsGotT-Regu" w:hAnsi="NewsGotT-Regu" w:cs="NewsGotT-Regu"/>
          <w:sz w:val="20"/>
          <w:szCs w:val="20"/>
        </w:rPr>
        <w:t>.</w:t>
      </w:r>
    </w:p>
    <w:p w:rsidR="00B40CB9" w:rsidRDefault="00B40CB9" w:rsidP="00851945">
      <w:pPr>
        <w:autoSpaceDE w:val="0"/>
        <w:autoSpaceDN w:val="0"/>
        <w:adjustRightInd w:val="0"/>
        <w:spacing w:after="0" w:line="240" w:lineRule="auto"/>
        <w:jc w:val="both"/>
        <w:rPr>
          <w:rFonts w:ascii="NewsGotT-Regu" w:hAnsi="NewsGotT-Regu" w:cs="NewsGotT-Regu"/>
          <w:sz w:val="20"/>
          <w:szCs w:val="20"/>
        </w:rPr>
      </w:pPr>
    </w:p>
    <w:p w:rsidR="00B40CB9" w:rsidRDefault="00B40CB9" w:rsidP="00851945">
      <w:pPr>
        <w:autoSpaceDE w:val="0"/>
        <w:autoSpaceDN w:val="0"/>
        <w:adjustRightInd w:val="0"/>
        <w:spacing w:after="0" w:line="240" w:lineRule="auto"/>
        <w:jc w:val="both"/>
        <w:rPr>
          <w:rFonts w:ascii="NewsGotT-Regu" w:hAnsi="NewsGotT-Regu" w:cs="NewsGotT-Regu"/>
          <w:sz w:val="20"/>
          <w:szCs w:val="20"/>
        </w:rPr>
      </w:pPr>
      <w:r>
        <w:rPr>
          <w:rFonts w:ascii="NewsGotT-Regu" w:hAnsi="NewsGotT-Regu" w:cs="NewsGotT-Regu"/>
          <w:sz w:val="20"/>
          <w:szCs w:val="20"/>
        </w:rPr>
        <w:t>Art. 10</w:t>
      </w:r>
    </w:p>
    <w:p w:rsidR="00B40CB9" w:rsidRDefault="00B40CB9" w:rsidP="00851945">
      <w:pPr>
        <w:autoSpaceDE w:val="0"/>
        <w:autoSpaceDN w:val="0"/>
        <w:adjustRightInd w:val="0"/>
        <w:spacing w:after="0" w:line="240" w:lineRule="auto"/>
        <w:jc w:val="both"/>
        <w:rPr>
          <w:rFonts w:ascii="NewsGotT-Regu" w:hAnsi="NewsGotT-Regu" w:cs="NewsGotT-Regu"/>
          <w:sz w:val="20"/>
          <w:szCs w:val="20"/>
        </w:rPr>
      </w:pPr>
      <w:r>
        <w:rPr>
          <w:rFonts w:ascii="NewsGotT-Regu" w:hAnsi="NewsGotT-Regu" w:cs="NewsGotT-Regu"/>
          <w:sz w:val="20"/>
          <w:szCs w:val="20"/>
        </w:rPr>
        <w:t>Excepcionalmente, la Administración educativa podrá incorporar, como profesorado especialista, para determinadas materias y módulos de formación profesional y de las enseñanzas artísticas y deportivas, de acuerdo con la normativa que resulte de aplicación, a profesionales cualificados que ejerzan su actividad en el ámbito laboral o deportivo, sin que  necesariamente cumplan el requisito de titulación establecido con carácter general.</w:t>
      </w:r>
    </w:p>
    <w:p w:rsidR="00851945" w:rsidRDefault="00851945" w:rsidP="00851945">
      <w:pPr>
        <w:autoSpaceDE w:val="0"/>
        <w:autoSpaceDN w:val="0"/>
        <w:adjustRightInd w:val="0"/>
        <w:spacing w:after="0" w:line="240" w:lineRule="auto"/>
        <w:jc w:val="both"/>
        <w:rPr>
          <w:rFonts w:ascii="NewsGotT-Regu" w:hAnsi="NewsGotT-Regu" w:cs="NewsGotT-Regu"/>
          <w:sz w:val="20"/>
          <w:szCs w:val="20"/>
        </w:rPr>
      </w:pPr>
    </w:p>
    <w:p w:rsidR="00851945" w:rsidRDefault="00851945" w:rsidP="00851945">
      <w:pPr>
        <w:autoSpaceDE w:val="0"/>
        <w:autoSpaceDN w:val="0"/>
        <w:adjustRightInd w:val="0"/>
        <w:spacing w:after="0" w:line="240" w:lineRule="auto"/>
        <w:jc w:val="both"/>
        <w:rPr>
          <w:rFonts w:ascii="NewsGotT-Regu" w:hAnsi="NewsGotT-Regu" w:cs="NewsGotT-Regu"/>
          <w:sz w:val="20"/>
          <w:szCs w:val="20"/>
        </w:rPr>
      </w:pPr>
      <w:r>
        <w:rPr>
          <w:rFonts w:ascii="NewsGotT-Regu" w:hAnsi="NewsGotT-Regu" w:cs="NewsGotT-Regu"/>
          <w:sz w:val="20"/>
          <w:szCs w:val="20"/>
        </w:rPr>
        <w:t>Art.136</w:t>
      </w:r>
    </w:p>
    <w:p w:rsidR="00851945" w:rsidRDefault="00851945" w:rsidP="00851945">
      <w:pPr>
        <w:autoSpaceDE w:val="0"/>
        <w:autoSpaceDN w:val="0"/>
        <w:adjustRightInd w:val="0"/>
        <w:spacing w:after="0" w:line="240" w:lineRule="auto"/>
        <w:jc w:val="both"/>
        <w:rPr>
          <w:rFonts w:ascii="NewsGotT-Regu" w:hAnsi="NewsGotT-Regu" w:cs="NewsGotT-Regu"/>
          <w:sz w:val="20"/>
          <w:szCs w:val="20"/>
        </w:rPr>
      </w:pPr>
      <w:r>
        <w:rPr>
          <w:rFonts w:ascii="NewsGotT-Regu" w:hAnsi="NewsGotT-Regu" w:cs="NewsGotT-Regu"/>
          <w:sz w:val="20"/>
          <w:szCs w:val="20"/>
        </w:rPr>
        <w:t>El Claustro de Profesorado es el órgano de participación del profesorado en el gobierno del centro, que tiene la responsabilidad de planificar, coordinar y, en su caso, decidir sobre todos los aspectos educativos del mismo.</w:t>
      </w:r>
    </w:p>
    <w:p w:rsidR="00851945" w:rsidRPr="00B40CB9" w:rsidRDefault="00851945" w:rsidP="00B40CB9">
      <w:pPr>
        <w:autoSpaceDE w:val="0"/>
        <w:autoSpaceDN w:val="0"/>
        <w:adjustRightInd w:val="0"/>
        <w:spacing w:after="0" w:line="240" w:lineRule="auto"/>
        <w:jc w:val="both"/>
        <w:rPr>
          <w:rFonts w:ascii="NewsGotT-Regu" w:hAnsi="NewsGotT-Regu" w:cs="NewsGotT-Regu"/>
          <w:sz w:val="20"/>
          <w:szCs w:val="20"/>
        </w:rPr>
      </w:pPr>
    </w:p>
    <w:sectPr w:rsidR="00851945" w:rsidRPr="00B40CB9" w:rsidSect="009115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ewsGotT-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CB9"/>
    <w:rsid w:val="002C23F5"/>
    <w:rsid w:val="00851945"/>
    <w:rsid w:val="0091156C"/>
    <w:rsid w:val="00B40CB9"/>
    <w:rsid w:val="00EB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León</dc:creator>
  <cp:lastModifiedBy>Pedro León</cp:lastModifiedBy>
  <cp:revision>1</cp:revision>
  <dcterms:created xsi:type="dcterms:W3CDTF">2010-12-15T19:30:00Z</dcterms:created>
  <dcterms:modified xsi:type="dcterms:W3CDTF">2010-12-15T19:47:00Z</dcterms:modified>
</cp:coreProperties>
</file>