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C" w:rsidRDefault="0099370C" w:rsidP="0099370C">
      <w:pPr>
        <w:pStyle w:val="NormalWeb"/>
      </w:pPr>
      <w:r>
        <w:rPr>
          <w:b/>
          <w:bCs/>
          <w:color w:val="000066"/>
          <w:sz w:val="36"/>
          <w:szCs w:val="36"/>
        </w:rPr>
        <w:t>Constructivismo.</w:t>
      </w:r>
    </w:p>
    <w:p w:rsidR="0099370C" w:rsidRDefault="0099370C" w:rsidP="0099370C">
      <w:pPr>
        <w:pStyle w:val="NormalWeb"/>
      </w:pPr>
      <w:r>
        <w:rPr>
          <w:rFonts w:ascii="Arial" w:hAnsi="Arial" w:cs="Arial"/>
          <w:sz w:val="20"/>
          <w:szCs w:val="20"/>
        </w:rPr>
        <w:t xml:space="preserve">El constructivismo es una posición compartida por diferentes tendencias de la investigación psicológica y educativa. Entre ellas se encuentran las teorías de </w:t>
      </w:r>
      <w:proofErr w:type="spellStart"/>
      <w:r>
        <w:rPr>
          <w:rFonts w:ascii="Arial" w:hAnsi="Arial" w:cs="Arial"/>
          <w:sz w:val="20"/>
          <w:szCs w:val="20"/>
        </w:rPr>
        <w:t>Piaget</w:t>
      </w:r>
      <w:proofErr w:type="spellEnd"/>
      <w:r>
        <w:rPr>
          <w:rFonts w:ascii="Arial" w:hAnsi="Arial" w:cs="Arial"/>
          <w:sz w:val="20"/>
          <w:szCs w:val="20"/>
        </w:rPr>
        <w:t xml:space="preserve"> (1952), </w:t>
      </w:r>
      <w:proofErr w:type="spellStart"/>
      <w:r>
        <w:rPr>
          <w:rFonts w:ascii="Arial" w:hAnsi="Arial" w:cs="Arial"/>
          <w:sz w:val="20"/>
          <w:szCs w:val="20"/>
        </w:rPr>
        <w:t>Vygotsky</w:t>
      </w:r>
      <w:proofErr w:type="spellEnd"/>
      <w:r>
        <w:rPr>
          <w:rFonts w:ascii="Arial" w:hAnsi="Arial" w:cs="Arial"/>
          <w:sz w:val="20"/>
          <w:szCs w:val="20"/>
        </w:rPr>
        <w:t xml:space="preserve"> (1978), </w:t>
      </w:r>
      <w:proofErr w:type="spellStart"/>
      <w:r>
        <w:rPr>
          <w:rFonts w:ascii="Arial" w:hAnsi="Arial" w:cs="Arial"/>
          <w:sz w:val="20"/>
          <w:szCs w:val="20"/>
        </w:rPr>
        <w:t>Ausubel</w:t>
      </w:r>
      <w:proofErr w:type="spellEnd"/>
      <w:r>
        <w:rPr>
          <w:rFonts w:ascii="Arial" w:hAnsi="Arial" w:cs="Arial"/>
          <w:sz w:val="20"/>
          <w:szCs w:val="20"/>
        </w:rPr>
        <w:t xml:space="preserve"> (1963), </w:t>
      </w:r>
      <w:proofErr w:type="spellStart"/>
      <w:r>
        <w:rPr>
          <w:rFonts w:ascii="Arial" w:hAnsi="Arial" w:cs="Arial"/>
          <w:sz w:val="20"/>
          <w:szCs w:val="20"/>
        </w:rPr>
        <w:t>Bruner</w:t>
      </w:r>
      <w:proofErr w:type="spellEnd"/>
      <w:r>
        <w:rPr>
          <w:rFonts w:ascii="Arial" w:hAnsi="Arial" w:cs="Arial"/>
          <w:sz w:val="20"/>
          <w:szCs w:val="20"/>
        </w:rPr>
        <w:t xml:space="preserve"> (1960), y aun cuando ninguno de ellos se denominó como constructivista sus ideas y propuestas claramente ilustran las ideas de esta corriente. </w:t>
      </w:r>
    </w:p>
    <w:p w:rsidR="0099370C" w:rsidRDefault="0099370C" w:rsidP="0099370C">
      <w:pPr>
        <w:pStyle w:val="NormalWeb"/>
      </w:pPr>
      <w:r>
        <w:rPr>
          <w:rFonts w:ascii="Arial" w:hAnsi="Arial" w:cs="Arial"/>
          <w:sz w:val="20"/>
          <w:szCs w:val="20"/>
        </w:rPr>
        <w:t xml:space="preserve">El </w:t>
      </w:r>
      <w:proofErr w:type="spellStart"/>
      <w:r>
        <w:rPr>
          <w:rFonts w:ascii="Arial" w:hAnsi="Arial" w:cs="Arial"/>
          <w:sz w:val="20"/>
          <w:szCs w:val="20"/>
        </w:rPr>
        <w:t>construtivismo</w:t>
      </w:r>
      <w:proofErr w:type="spellEnd"/>
      <w:r>
        <w:rPr>
          <w:rFonts w:ascii="Arial" w:hAnsi="Arial" w:cs="Arial"/>
          <w:sz w:val="20"/>
          <w:szCs w:val="20"/>
        </w:rPr>
        <w:t>, nos dice Méndez (2002) es en primer lugar una epistemología, es decir una teoría que intenta explicar cuál es la naturaleza del conocimiento humano. El constructivismo asume que nada viene de nada. Es decir que conocimiento previo da nacimiento a conocimiento nuevo.</w:t>
      </w:r>
    </w:p>
    <w:p w:rsidR="0099370C" w:rsidRDefault="0099370C" w:rsidP="0099370C">
      <w:pPr>
        <w:pStyle w:val="NormalWeb"/>
      </w:pPr>
      <w:r>
        <w:rPr>
          <w:rFonts w:ascii="Arial" w:hAnsi="Arial" w:cs="Arial"/>
          <w:sz w:val="20"/>
          <w:szCs w:val="20"/>
        </w:rPr>
        <w:t xml:space="preserve">El constructivismo sostiene que el aprendizaje es </w:t>
      </w:r>
      <w:r>
        <w:rPr>
          <w:rFonts w:ascii="Arial" w:hAnsi="Arial" w:cs="Arial"/>
          <w:b/>
          <w:bCs/>
          <w:sz w:val="20"/>
          <w:szCs w:val="20"/>
        </w:rPr>
        <w:t>esencialmente activo</w:t>
      </w:r>
      <w:r>
        <w:rPr>
          <w:rFonts w:ascii="Arial" w:hAnsi="Arial" w:cs="Arial"/>
          <w:sz w:val="20"/>
          <w:szCs w:val="20"/>
        </w:rPr>
        <w:t xml:space="preserve">. Una persona que aprende algo nuevo, lo incorpora a sus experiencias previas y a sus propias estructuras mentales. Cada nueva información es asimilada y depositada en una red de conocimientos y experiencias que existen previamente en el sujeto, como resultado podemos decir que </w:t>
      </w:r>
      <w:r>
        <w:rPr>
          <w:rFonts w:ascii="Arial" w:hAnsi="Arial" w:cs="Arial"/>
          <w:b/>
          <w:bCs/>
          <w:sz w:val="20"/>
          <w:szCs w:val="20"/>
        </w:rPr>
        <w:t>el aprendizaje no es ni pasivo ni objetivo</w:t>
      </w:r>
      <w:r>
        <w:rPr>
          <w:rFonts w:ascii="Arial" w:hAnsi="Arial" w:cs="Arial"/>
          <w:sz w:val="20"/>
          <w:szCs w:val="20"/>
        </w:rPr>
        <w:t>, por el contrario es un proceso subjetivo que cada persona va modificando constantemente a la luz de sus experiencias (</w:t>
      </w:r>
      <w:proofErr w:type="spellStart"/>
      <w:r>
        <w:rPr>
          <w:rFonts w:ascii="Arial" w:hAnsi="Arial" w:cs="Arial"/>
          <w:sz w:val="20"/>
          <w:szCs w:val="20"/>
        </w:rPr>
        <w:t>Abbott</w:t>
      </w:r>
      <w:proofErr w:type="spellEnd"/>
      <w:r>
        <w:rPr>
          <w:rFonts w:ascii="Arial" w:hAnsi="Arial" w:cs="Arial"/>
          <w:sz w:val="20"/>
          <w:szCs w:val="20"/>
        </w:rPr>
        <w:t>, 1999).</w:t>
      </w:r>
      <w:r>
        <w:t xml:space="preserve"> </w:t>
      </w:r>
    </w:p>
    <w:p w:rsidR="0099370C" w:rsidRDefault="0099370C" w:rsidP="0099370C">
      <w:pPr>
        <w:pStyle w:val="NormalWeb"/>
      </w:pPr>
      <w:r>
        <w:rPr>
          <w:rFonts w:ascii="Arial" w:hAnsi="Arial" w:cs="Arial"/>
          <w:sz w:val="20"/>
          <w:szCs w:val="20"/>
        </w:rPr>
        <w:t xml:space="preserve">Partiendo de las ideas constructivistas, el aprendizaje </w:t>
      </w:r>
      <w:r>
        <w:rPr>
          <w:rFonts w:ascii="Arial" w:hAnsi="Arial" w:cs="Arial"/>
          <w:b/>
          <w:bCs/>
          <w:sz w:val="20"/>
          <w:szCs w:val="20"/>
        </w:rPr>
        <w:t>no es un sencillo asunto de transmisión y acumulación de conocimientos</w:t>
      </w:r>
      <w:r>
        <w:rPr>
          <w:rFonts w:ascii="Arial" w:hAnsi="Arial" w:cs="Arial"/>
          <w:sz w:val="20"/>
          <w:szCs w:val="20"/>
        </w:rPr>
        <w:t xml:space="preserve">, sino </w:t>
      </w:r>
      <w:r>
        <w:rPr>
          <w:rFonts w:ascii="Arial" w:hAnsi="Arial" w:cs="Arial"/>
          <w:b/>
          <w:bCs/>
          <w:sz w:val="20"/>
          <w:szCs w:val="20"/>
        </w:rPr>
        <w:t>"un proceso activo"</w:t>
      </w:r>
      <w:r>
        <w:rPr>
          <w:rFonts w:ascii="Arial" w:hAnsi="Arial" w:cs="Arial"/>
          <w:sz w:val="20"/>
          <w:szCs w:val="20"/>
        </w:rPr>
        <w:t xml:space="preserve"> por parte del alumno que ensambla, extiende, restaura e interpreta, y por lo tanto </w:t>
      </w:r>
      <w:r>
        <w:rPr>
          <w:rFonts w:ascii="Arial" w:hAnsi="Arial" w:cs="Arial"/>
          <w:b/>
          <w:bCs/>
          <w:sz w:val="20"/>
          <w:szCs w:val="20"/>
        </w:rPr>
        <w:t>"construye"</w:t>
      </w:r>
      <w:r>
        <w:rPr>
          <w:rFonts w:ascii="Arial" w:hAnsi="Arial" w:cs="Arial"/>
          <w:sz w:val="20"/>
          <w:szCs w:val="20"/>
        </w:rPr>
        <w:t xml:space="preserve"> conocimientos partiendo de su experiencia e integrándola con la información que recibe. </w:t>
      </w:r>
      <w:bookmarkStart w:id="0" w:name="ancla"/>
      <w:bookmarkEnd w:id="0"/>
    </w:p>
    <w:tbl>
      <w:tblPr>
        <w:tblW w:w="5000" w:type="pct"/>
        <w:tblCellSpacing w:w="0" w:type="dxa"/>
        <w:tblCellMar>
          <w:left w:w="0" w:type="dxa"/>
          <w:right w:w="0" w:type="dxa"/>
        </w:tblCellMar>
        <w:tblLook w:val="0000"/>
      </w:tblPr>
      <w:tblGrid>
        <w:gridCol w:w="8840"/>
      </w:tblGrid>
      <w:tr w:rsidR="0099370C">
        <w:trPr>
          <w:trHeight w:val="420"/>
          <w:tblCellSpacing w:w="0" w:type="dxa"/>
        </w:trPr>
        <w:tc>
          <w:tcPr>
            <w:tcW w:w="0" w:type="auto"/>
            <w:vAlign w:val="center"/>
          </w:tcPr>
          <w:p w:rsidR="0099370C" w:rsidRDefault="0099370C">
            <w:pPr>
              <w:pStyle w:val="NormalWeb"/>
              <w:divId w:val="1998609882"/>
            </w:pPr>
            <w:r>
              <w:rPr>
                <w:rFonts w:ascii="Arial" w:hAnsi="Arial" w:cs="Arial"/>
                <w:sz w:val="20"/>
                <w:szCs w:val="20"/>
              </w:rPr>
              <w:t>El constructivismo busca ayudar a los estudiantes a internalizar, reacomodar, o transformar la información nueva. Esta transformación ocurre a través de la creación de nuevos aprendizajes y esto resulta del surgimiento de nuevas estructuras cognitivas (</w:t>
            </w:r>
            <w:proofErr w:type="spellStart"/>
            <w:r>
              <w:rPr>
                <w:rFonts w:ascii="Arial" w:hAnsi="Arial" w:cs="Arial"/>
                <w:sz w:val="20"/>
                <w:szCs w:val="20"/>
              </w:rPr>
              <w:t>Grennon</w:t>
            </w:r>
            <w:proofErr w:type="spellEnd"/>
            <w:r>
              <w:rPr>
                <w:rFonts w:ascii="Arial" w:hAnsi="Arial" w:cs="Arial"/>
                <w:sz w:val="20"/>
                <w:szCs w:val="20"/>
              </w:rPr>
              <w:t xml:space="preserve"> y Brooks, 1999), que permiten enfrentarse a situaciones iguales o parecidas en la realidad.</w:t>
            </w:r>
            <w:r>
              <w:t xml:space="preserve"> </w:t>
            </w:r>
          </w:p>
          <w:p w:rsidR="0099370C" w:rsidRDefault="0099370C">
            <w:pPr>
              <w:pStyle w:val="NormalWeb"/>
            </w:pPr>
            <w:r>
              <w:rPr>
                <w:rFonts w:ascii="Arial" w:hAnsi="Arial" w:cs="Arial"/>
                <w:sz w:val="20"/>
                <w:szCs w:val="20"/>
              </w:rPr>
              <w:t>Así "el constructivismo" percibe el aprendizaje como actividad personal enmarcada en contextos funcionales, significativos y auténticos.</w:t>
            </w:r>
          </w:p>
        </w:tc>
      </w:tr>
    </w:tbl>
    <w:p w:rsidR="0099370C" w:rsidRDefault="0099370C" w:rsidP="0099370C">
      <w:pPr>
        <w:pStyle w:val="NormalWeb"/>
      </w:pPr>
      <w:r>
        <w:rPr>
          <w:rFonts w:ascii="Arial" w:hAnsi="Arial" w:cs="Arial"/>
          <w:sz w:val="20"/>
          <w:szCs w:val="20"/>
        </w:rPr>
        <w:t xml:space="preserve">En este proceso de aprendizaje constructivo, el </w:t>
      </w:r>
      <w:r>
        <w:rPr>
          <w:rFonts w:ascii="Arial" w:hAnsi="Arial" w:cs="Arial"/>
          <w:b/>
          <w:bCs/>
          <w:sz w:val="20"/>
          <w:szCs w:val="20"/>
        </w:rPr>
        <w:t xml:space="preserve">profesor cede su protagonismo al alumno </w:t>
      </w:r>
      <w:r>
        <w:rPr>
          <w:rFonts w:ascii="Arial" w:hAnsi="Arial" w:cs="Arial"/>
          <w:sz w:val="20"/>
          <w:szCs w:val="20"/>
        </w:rPr>
        <w:t>quien asume el papel fundamental en su propio proceso de formación. Es él mismo quien se convierte en el responsable de su propio aprendizaje, mediante su participación y la colaboración con sus compañeros. Para esto habrá de automatizar nuevas y útiles estructuras intelectuales que le llevarán a desempeñarse con suficiencia no sólo en su entorno social inmediato, sino en su futuro profesional.</w:t>
      </w:r>
    </w:p>
    <w:p w:rsidR="0099370C" w:rsidRDefault="0099370C" w:rsidP="0099370C">
      <w:pPr>
        <w:pStyle w:val="NormalWeb"/>
      </w:pPr>
      <w:r>
        <w:rPr>
          <w:rFonts w:ascii="Arial" w:hAnsi="Arial" w:cs="Arial"/>
          <w:sz w:val="20"/>
          <w:szCs w:val="20"/>
        </w:rPr>
        <w:t>Es el propio alumno quien habrá de lograr la transferencia de lo teórico hacia ámbitos prácticos, situados en contextos reales.</w:t>
      </w:r>
    </w:p>
    <w:tbl>
      <w:tblPr>
        <w:tblW w:w="5000" w:type="pct"/>
        <w:tblCellSpacing w:w="0" w:type="dxa"/>
        <w:tblCellMar>
          <w:left w:w="0" w:type="dxa"/>
          <w:right w:w="0" w:type="dxa"/>
        </w:tblCellMar>
        <w:tblLook w:val="0000"/>
      </w:tblPr>
      <w:tblGrid>
        <w:gridCol w:w="4155"/>
        <w:gridCol w:w="4685"/>
      </w:tblGrid>
      <w:tr w:rsidR="0099370C">
        <w:trPr>
          <w:tblCellSpacing w:w="0" w:type="dxa"/>
        </w:trPr>
        <w:tc>
          <w:tcPr>
            <w:tcW w:w="2350" w:type="pct"/>
            <w:vAlign w:val="center"/>
          </w:tcPr>
          <w:p w:rsidR="0099370C" w:rsidRDefault="0099370C">
            <w:pPr>
              <w:divId w:val="227423718"/>
            </w:pPr>
            <w:r>
              <w:rPr>
                <w:rFonts w:ascii="Arial" w:hAnsi="Arial" w:cs="Arial"/>
                <w:sz w:val="20"/>
                <w:szCs w:val="20"/>
              </w:rPr>
              <w:t>Es éste el nuevo papel del alumno, un rol imprescindible para su propia formación, un protagonismo que es imposible ceder y que le habrá de proporcionar una infinidad de herramientas significativas que habrán de ponerse a prueba en el devenir de su propio y personal futuro.</w:t>
            </w:r>
            <w:r>
              <w:t xml:space="preserve"> </w:t>
            </w:r>
          </w:p>
        </w:tc>
        <w:tc>
          <w:tcPr>
            <w:tcW w:w="2650" w:type="pct"/>
            <w:vAlign w:val="center"/>
          </w:tcPr>
          <w:p w:rsidR="0099370C" w:rsidRDefault="00A22884">
            <w:pPr>
              <w:jc w:val="center"/>
            </w:pPr>
            <w:r>
              <w:rPr>
                <w:noProof/>
                <w:lang w:val="es-CO" w:eastAsia="es-CO"/>
              </w:rPr>
              <w:drawing>
                <wp:inline distT="0" distB="0" distL="0" distR="0">
                  <wp:extent cx="2619375" cy="1533525"/>
                  <wp:effectExtent l="19050" t="0" r="9525" b="0"/>
                  <wp:docPr id="1" name="Imagen 1" descr="m0_protago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_protagonista"/>
                          <pic:cNvPicPr>
                            <a:picLocks noChangeAspect="1" noChangeArrowheads="1"/>
                          </pic:cNvPicPr>
                        </pic:nvPicPr>
                        <pic:blipFill>
                          <a:blip r:embed="rId5"/>
                          <a:srcRect/>
                          <a:stretch>
                            <a:fillRect/>
                          </a:stretch>
                        </pic:blipFill>
                        <pic:spPr bwMode="auto">
                          <a:xfrm>
                            <a:off x="0" y="0"/>
                            <a:ext cx="2619375" cy="1533525"/>
                          </a:xfrm>
                          <a:prstGeom prst="rect">
                            <a:avLst/>
                          </a:prstGeom>
                          <a:noFill/>
                          <a:ln w="9525">
                            <a:noFill/>
                            <a:miter lim="800000"/>
                            <a:headEnd/>
                            <a:tailEnd/>
                          </a:ln>
                        </pic:spPr>
                      </pic:pic>
                    </a:graphicData>
                  </a:graphic>
                </wp:inline>
              </w:drawing>
            </w:r>
          </w:p>
        </w:tc>
      </w:tr>
    </w:tbl>
    <w:p w:rsidR="0099370C" w:rsidRDefault="0099370C" w:rsidP="0099370C">
      <w:pPr>
        <w:pStyle w:val="NormalWeb"/>
      </w:pPr>
      <w:r>
        <w:rPr>
          <w:rFonts w:ascii="Arial" w:hAnsi="Arial" w:cs="Arial"/>
          <w:sz w:val="20"/>
          <w:szCs w:val="20"/>
        </w:rPr>
        <w:lastRenderedPageBreak/>
        <w:t xml:space="preserve">Todas estas ideas han tomado </w:t>
      </w:r>
      <w:r>
        <w:rPr>
          <w:rFonts w:ascii="Arial" w:hAnsi="Arial" w:cs="Arial"/>
          <w:b/>
          <w:bCs/>
          <w:sz w:val="20"/>
          <w:szCs w:val="20"/>
        </w:rPr>
        <w:t>matices diferentes,</w:t>
      </w:r>
      <w:r>
        <w:rPr>
          <w:rFonts w:ascii="Arial" w:hAnsi="Arial" w:cs="Arial"/>
          <w:sz w:val="20"/>
          <w:szCs w:val="20"/>
        </w:rPr>
        <w:t xml:space="preserve"> podemos destacar dos de los autores más importantes que han aportado más al constructivismo: </w:t>
      </w:r>
      <w:proofErr w:type="spellStart"/>
      <w:r>
        <w:rPr>
          <w:rFonts w:ascii="Arial" w:hAnsi="Arial" w:cs="Arial"/>
          <w:sz w:val="20"/>
          <w:szCs w:val="20"/>
        </w:rPr>
        <w:t>Piaget</w:t>
      </w:r>
      <w:proofErr w:type="spellEnd"/>
      <w:r>
        <w:rPr>
          <w:rFonts w:ascii="Arial" w:hAnsi="Arial" w:cs="Arial"/>
          <w:sz w:val="20"/>
          <w:szCs w:val="20"/>
        </w:rPr>
        <w:t xml:space="preserve"> con el "constructivismo </w:t>
      </w:r>
      <w:r>
        <w:rPr>
          <w:rFonts w:ascii="Arial" w:hAnsi="Arial" w:cs="Arial"/>
          <w:b/>
          <w:bCs/>
          <w:sz w:val="20"/>
          <w:szCs w:val="20"/>
        </w:rPr>
        <w:t>psicológico</w:t>
      </w:r>
      <w:r>
        <w:rPr>
          <w:rFonts w:ascii="Arial" w:hAnsi="Arial" w:cs="Arial"/>
          <w:sz w:val="20"/>
          <w:szCs w:val="20"/>
        </w:rPr>
        <w:t xml:space="preserve">" y </w:t>
      </w:r>
      <w:proofErr w:type="spellStart"/>
      <w:r>
        <w:rPr>
          <w:rFonts w:ascii="Arial" w:hAnsi="Arial" w:cs="Arial"/>
          <w:sz w:val="20"/>
          <w:szCs w:val="20"/>
        </w:rPr>
        <w:t>Vigotsky</w:t>
      </w:r>
      <w:proofErr w:type="spellEnd"/>
      <w:r>
        <w:rPr>
          <w:rFonts w:ascii="Arial" w:hAnsi="Arial" w:cs="Arial"/>
          <w:sz w:val="20"/>
          <w:szCs w:val="20"/>
        </w:rPr>
        <w:t xml:space="preserve"> con el "constructivismo </w:t>
      </w:r>
      <w:r>
        <w:rPr>
          <w:rFonts w:ascii="Arial" w:hAnsi="Arial" w:cs="Arial"/>
          <w:b/>
          <w:bCs/>
          <w:sz w:val="20"/>
          <w:szCs w:val="20"/>
        </w:rPr>
        <w:t>social</w:t>
      </w:r>
      <w:r>
        <w:rPr>
          <w:rFonts w:ascii="Arial" w:hAnsi="Arial" w:cs="Arial"/>
          <w:sz w:val="20"/>
          <w:szCs w:val="20"/>
        </w:rPr>
        <w:t>".</w:t>
      </w:r>
    </w:p>
    <w:p w:rsidR="0099370C" w:rsidRDefault="0099370C" w:rsidP="0099370C">
      <w:pPr>
        <w:pStyle w:val="NormalWeb"/>
      </w:pPr>
      <w:r>
        <w:rPr>
          <w:rFonts w:ascii="Arial" w:hAnsi="Arial" w:cs="Arial"/>
          <w:b/>
          <w:bCs/>
          <w:sz w:val="20"/>
          <w:szCs w:val="20"/>
        </w:rPr>
        <w:t xml:space="preserve">El constructivismo de </w:t>
      </w:r>
      <w:proofErr w:type="spellStart"/>
      <w:r>
        <w:rPr>
          <w:rFonts w:ascii="Arial" w:hAnsi="Arial" w:cs="Arial"/>
          <w:b/>
          <w:bCs/>
          <w:sz w:val="20"/>
          <w:szCs w:val="20"/>
        </w:rPr>
        <w:t>Piaget</w:t>
      </w:r>
      <w:proofErr w:type="spellEnd"/>
      <w:r>
        <w:rPr>
          <w:rFonts w:ascii="Arial" w:hAnsi="Arial" w:cs="Arial"/>
          <w:b/>
          <w:bCs/>
          <w:sz w:val="20"/>
          <w:szCs w:val="20"/>
        </w:rPr>
        <w:t xml:space="preserve"> o constructivismo psicológico</w:t>
      </w:r>
      <w:r>
        <w:rPr>
          <w:rFonts w:ascii="Arial" w:hAnsi="Arial" w:cs="Arial"/>
          <w:sz w:val="20"/>
          <w:szCs w:val="20"/>
        </w:rPr>
        <w:t xml:space="preserve"> (Méndez, 2002)</w:t>
      </w:r>
    </w:p>
    <w:p w:rsidR="0099370C" w:rsidRDefault="0099370C" w:rsidP="0099370C">
      <w:pPr>
        <w:pStyle w:val="NormalWeb"/>
      </w:pPr>
      <w:r>
        <w:rPr>
          <w:rFonts w:ascii="Arial" w:hAnsi="Arial" w:cs="Arial"/>
          <w:sz w:val="20"/>
          <w:szCs w:val="20"/>
        </w:rPr>
        <w:t xml:space="preserve">Desde la perspectiva del constructivismo psicológico, </w:t>
      </w:r>
      <w:r>
        <w:rPr>
          <w:rFonts w:ascii="Arial" w:hAnsi="Arial" w:cs="Arial"/>
          <w:b/>
          <w:bCs/>
          <w:sz w:val="20"/>
          <w:szCs w:val="20"/>
        </w:rPr>
        <w:t>el aprendizaje es fundamentalmente asunto personal.</w:t>
      </w:r>
      <w:r>
        <w:rPr>
          <w:rFonts w:ascii="Arial" w:hAnsi="Arial" w:cs="Arial"/>
          <w:sz w:val="20"/>
          <w:szCs w:val="20"/>
        </w:rPr>
        <w:t xml:space="preserve"> Existe el individuo con su cerebro cuasi-omnipotente, generando hipótesis, usando procesos inductivos y deductivos para entender el mundo y poniendo estas hipótesis a prueba con su experiencia personal. </w:t>
      </w:r>
    </w:p>
    <w:p w:rsidR="0099370C" w:rsidRDefault="0099370C" w:rsidP="0099370C">
      <w:pPr>
        <w:pStyle w:val="NormalWeb"/>
      </w:pPr>
      <w:r>
        <w:rPr>
          <w:rFonts w:ascii="Arial" w:hAnsi="Arial" w:cs="Arial"/>
          <w:sz w:val="20"/>
          <w:szCs w:val="20"/>
        </w:rPr>
        <w:t xml:space="preserve">El motor de esta actividad es el conflicto cognitivo. Una misteriosa fuerza, llamada "deseo de saber", nos irrita y nos empuja a encontrar explicaciones al mundo que nos rodea. Esto es, en toda actividad constructivista debe existir una circunstancia que haga tambalear las estructuras previas de conocimiento y obligue a un reacomodo del viejo conocimiento para asimilar el nuevo. Así, el individuo aprende a cambiar su conocimiento y creencias del mundo, para ajustar las nuevas realidades descubiertas y construir su conocimiento. </w:t>
      </w:r>
      <w:r>
        <w:rPr>
          <w:rFonts w:ascii="Arial" w:hAnsi="Arial" w:cs="Arial"/>
          <w:sz w:val="20"/>
          <w:szCs w:val="20"/>
        </w:rPr>
        <w:br/>
        <w:t xml:space="preserve">Típicamente, en situaciones de aprendizaje académico, </w:t>
      </w:r>
      <w:r>
        <w:rPr>
          <w:rFonts w:ascii="Arial" w:hAnsi="Arial" w:cs="Arial"/>
          <w:b/>
          <w:bCs/>
          <w:sz w:val="20"/>
          <w:szCs w:val="20"/>
        </w:rPr>
        <w:t>se trata de que exista aprendizaje por descubrimiento, experimentación y manipulación de realidades concretas, pensamiento crítico, diálogo y cuestionamiento continuo</w:t>
      </w:r>
      <w:r>
        <w:rPr>
          <w:rFonts w:ascii="Arial" w:hAnsi="Arial" w:cs="Arial"/>
          <w:sz w:val="20"/>
          <w:szCs w:val="20"/>
        </w:rPr>
        <w:t xml:space="preserve">. Detrás de todas estas actividades descansa la suposición de que todo individuo, de alguna manera, será capaz de construir su conocimiento a través de tales actividades. </w:t>
      </w:r>
    </w:p>
    <w:p w:rsidR="0099370C" w:rsidRDefault="0099370C" w:rsidP="0099370C">
      <w:pPr>
        <w:pStyle w:val="NormalWeb"/>
      </w:pPr>
      <w:r>
        <w:rPr>
          <w:rFonts w:ascii="Arial" w:hAnsi="Arial" w:cs="Arial"/>
          <w:sz w:val="20"/>
          <w:szCs w:val="20"/>
        </w:rPr>
        <w:t xml:space="preserve">Variables sociales como uso del lenguaje, clase social, aprendizaje en medios no académicos, concepciones de autoridad y estructura social no son consideradas en esta forma de constructivismo. No importa en </w:t>
      </w:r>
      <w:proofErr w:type="spellStart"/>
      <w:r>
        <w:rPr>
          <w:rFonts w:ascii="Arial" w:hAnsi="Arial" w:cs="Arial"/>
          <w:sz w:val="20"/>
          <w:szCs w:val="20"/>
        </w:rPr>
        <w:t>que</w:t>
      </w:r>
      <w:proofErr w:type="spellEnd"/>
      <w:r>
        <w:rPr>
          <w:rFonts w:ascii="Arial" w:hAnsi="Arial" w:cs="Arial"/>
          <w:sz w:val="20"/>
          <w:szCs w:val="20"/>
        </w:rPr>
        <w:t xml:space="preserve"> contexto este sumergida la mente del aprendiz, los procesos cognitivos tienen supuestamente una naturaleza casi inexorable en su objetivo de hacer significado de las vivencias del aprendiz. En síntesis, en esta visión del constructivismo </w:t>
      </w:r>
      <w:r>
        <w:rPr>
          <w:rFonts w:ascii="Arial" w:hAnsi="Arial" w:cs="Arial"/>
          <w:b/>
          <w:bCs/>
          <w:sz w:val="20"/>
          <w:szCs w:val="20"/>
        </w:rPr>
        <w:t xml:space="preserve">la mente puede lograr sus cometidos estando descontextualizada. </w:t>
      </w:r>
    </w:p>
    <w:p w:rsidR="0099370C" w:rsidRDefault="0099370C" w:rsidP="0099370C">
      <w:pPr>
        <w:pStyle w:val="NormalWeb"/>
      </w:pPr>
      <w:r>
        <w:rPr>
          <w:rFonts w:ascii="Arial" w:hAnsi="Arial" w:cs="Arial"/>
          <w:b/>
          <w:bCs/>
          <w:sz w:val="20"/>
          <w:szCs w:val="20"/>
        </w:rPr>
        <w:t xml:space="preserve">El constructivismo de </w:t>
      </w:r>
      <w:proofErr w:type="spellStart"/>
      <w:r>
        <w:rPr>
          <w:rFonts w:ascii="Arial" w:hAnsi="Arial" w:cs="Arial"/>
          <w:b/>
          <w:bCs/>
          <w:sz w:val="20"/>
          <w:szCs w:val="20"/>
        </w:rPr>
        <w:t>Vigotsky</w:t>
      </w:r>
      <w:proofErr w:type="spellEnd"/>
      <w:r>
        <w:rPr>
          <w:rFonts w:ascii="Arial" w:hAnsi="Arial" w:cs="Arial"/>
          <w:b/>
          <w:bCs/>
          <w:sz w:val="20"/>
          <w:szCs w:val="20"/>
        </w:rPr>
        <w:t xml:space="preserve"> o constructivismo social </w:t>
      </w:r>
      <w:r>
        <w:rPr>
          <w:rFonts w:ascii="Arial" w:hAnsi="Arial" w:cs="Arial"/>
          <w:sz w:val="20"/>
          <w:szCs w:val="20"/>
        </w:rPr>
        <w:t>(Méndez, 2002)</w:t>
      </w:r>
    </w:p>
    <w:p w:rsidR="0099370C" w:rsidRDefault="0099370C" w:rsidP="0099370C">
      <w:pPr>
        <w:pStyle w:val="NormalWeb"/>
      </w:pPr>
      <w:r>
        <w:rPr>
          <w:rFonts w:ascii="Arial" w:hAnsi="Arial" w:cs="Arial"/>
          <w:sz w:val="20"/>
          <w:szCs w:val="20"/>
        </w:rPr>
        <w:t xml:space="preserve">En esta teoría, llamada también constructivismo situado, el aprendizaje tiene una interpretación audaz: </w:t>
      </w:r>
      <w:r>
        <w:rPr>
          <w:rFonts w:ascii="Arial" w:hAnsi="Arial" w:cs="Arial"/>
          <w:b/>
          <w:bCs/>
          <w:sz w:val="20"/>
          <w:szCs w:val="20"/>
        </w:rPr>
        <w:t>Sólo en un contexto social se logra aprendizaje significativo</w:t>
      </w:r>
      <w:r>
        <w:rPr>
          <w:rFonts w:ascii="Arial" w:hAnsi="Arial" w:cs="Arial"/>
          <w:sz w:val="20"/>
          <w:szCs w:val="20"/>
        </w:rPr>
        <w:t xml:space="preserve">. Es decir, contrario a lo que está implícito en la teoría de </w:t>
      </w:r>
      <w:proofErr w:type="spellStart"/>
      <w:r>
        <w:rPr>
          <w:rFonts w:ascii="Arial" w:hAnsi="Arial" w:cs="Arial"/>
          <w:sz w:val="20"/>
          <w:szCs w:val="20"/>
        </w:rPr>
        <w:t>Piaget</w:t>
      </w:r>
      <w:proofErr w:type="spellEnd"/>
      <w:r>
        <w:rPr>
          <w:rFonts w:ascii="Arial" w:hAnsi="Arial" w:cs="Arial"/>
          <w:sz w:val="20"/>
          <w:szCs w:val="20"/>
        </w:rPr>
        <w:t xml:space="preserve">, no es el sistema cognitivo lo que estructura significados, sino la interacción social. El intercambio social genera representaciones </w:t>
      </w:r>
      <w:proofErr w:type="spellStart"/>
      <w:r>
        <w:rPr>
          <w:rFonts w:ascii="Arial" w:hAnsi="Arial" w:cs="Arial"/>
          <w:sz w:val="20"/>
          <w:szCs w:val="20"/>
        </w:rPr>
        <w:t>interpsicológicas</w:t>
      </w:r>
      <w:proofErr w:type="spellEnd"/>
      <w:r>
        <w:rPr>
          <w:rFonts w:ascii="Arial" w:hAnsi="Arial" w:cs="Arial"/>
          <w:sz w:val="20"/>
          <w:szCs w:val="20"/>
        </w:rPr>
        <w:t xml:space="preserve"> que, eventualmente, se han de transformar en representaciones </w:t>
      </w:r>
      <w:proofErr w:type="spellStart"/>
      <w:r>
        <w:rPr>
          <w:rFonts w:ascii="Arial" w:hAnsi="Arial" w:cs="Arial"/>
          <w:sz w:val="20"/>
          <w:szCs w:val="20"/>
        </w:rPr>
        <w:t>intrapsicológicas</w:t>
      </w:r>
      <w:proofErr w:type="spellEnd"/>
      <w:r>
        <w:rPr>
          <w:rFonts w:ascii="Arial" w:hAnsi="Arial" w:cs="Arial"/>
          <w:sz w:val="20"/>
          <w:szCs w:val="20"/>
        </w:rPr>
        <w:t xml:space="preserve">, siendo estas últimas, las estructuras de las que hablaba </w:t>
      </w:r>
      <w:proofErr w:type="spellStart"/>
      <w:r>
        <w:rPr>
          <w:rFonts w:ascii="Arial" w:hAnsi="Arial" w:cs="Arial"/>
          <w:sz w:val="20"/>
          <w:szCs w:val="20"/>
        </w:rPr>
        <w:t>Piaget</w:t>
      </w:r>
      <w:proofErr w:type="spellEnd"/>
      <w:r>
        <w:rPr>
          <w:rFonts w:ascii="Arial" w:hAnsi="Arial" w:cs="Arial"/>
          <w:sz w:val="20"/>
          <w:szCs w:val="20"/>
        </w:rPr>
        <w:t xml:space="preserve">. </w:t>
      </w:r>
      <w:r>
        <w:rPr>
          <w:rFonts w:ascii="Arial" w:hAnsi="Arial" w:cs="Arial"/>
          <w:b/>
          <w:bCs/>
          <w:sz w:val="20"/>
          <w:szCs w:val="20"/>
        </w:rPr>
        <w:t>El constructivismo social no niega nada de las suposiciones del constructivismo psicológico, sin embargo considera que está incompleto</w:t>
      </w:r>
      <w:r>
        <w:rPr>
          <w:rFonts w:ascii="Arial" w:hAnsi="Arial" w:cs="Arial"/>
          <w:sz w:val="20"/>
          <w:szCs w:val="20"/>
        </w:rPr>
        <w:t>. Lo que pasa en la mente del individuo es fundamentalmente un reflejo de lo que paso en la interacción social.</w:t>
      </w:r>
    </w:p>
    <w:p w:rsidR="0099370C" w:rsidRDefault="0099370C" w:rsidP="0099370C">
      <w:pPr>
        <w:pStyle w:val="NormalWeb"/>
      </w:pPr>
      <w:r>
        <w:rPr>
          <w:rFonts w:ascii="Arial" w:hAnsi="Arial" w:cs="Arial"/>
          <w:sz w:val="20"/>
          <w:szCs w:val="20"/>
        </w:rPr>
        <w:t xml:space="preserve">El origen de todo conocimiento no es entonces la mente humana, sino una sociedad dentro de una cultura dentro de una época histórica. El lenguaje es la herramienta cultural de aprendizaje por excelencia. El individuo construye su conocimiento por que es capaz de leer, escribir y preguntar a otros y preguntarse a si mismo sobre aquellos asuntos que le interesan. Aun más importante es el hecho de que el individuo construye su conocimiento no </w:t>
      </w:r>
      <w:proofErr w:type="spellStart"/>
      <w:r>
        <w:rPr>
          <w:rFonts w:ascii="Arial" w:hAnsi="Arial" w:cs="Arial"/>
          <w:sz w:val="20"/>
          <w:szCs w:val="20"/>
        </w:rPr>
        <w:t>por que</w:t>
      </w:r>
      <w:proofErr w:type="spellEnd"/>
      <w:r>
        <w:rPr>
          <w:rFonts w:ascii="Arial" w:hAnsi="Arial" w:cs="Arial"/>
          <w:sz w:val="20"/>
          <w:szCs w:val="20"/>
        </w:rPr>
        <w:t xml:space="preserve"> sea una función natural de su cerebro sino por que literalmente se le ha enseñado a construir a través de un dialogo continuo con otros seres humanos. No es que el individuo piense y de ahí construye, sino que piensa, comunica lo que ha pensado, confronta con otros sus ideas y de ahí construye. Desde la etapa de desarrollo infantil, el ser humano </w:t>
      </w:r>
      <w:proofErr w:type="spellStart"/>
      <w:r>
        <w:rPr>
          <w:rFonts w:ascii="Arial" w:hAnsi="Arial" w:cs="Arial"/>
          <w:sz w:val="20"/>
          <w:szCs w:val="20"/>
        </w:rPr>
        <w:t>esta</w:t>
      </w:r>
      <w:proofErr w:type="spellEnd"/>
      <w:r>
        <w:rPr>
          <w:rFonts w:ascii="Arial" w:hAnsi="Arial" w:cs="Arial"/>
          <w:sz w:val="20"/>
          <w:szCs w:val="20"/>
        </w:rPr>
        <w:t xml:space="preserve"> confrontando sus construcciones mentales con su medio ambiente.</w:t>
      </w:r>
    </w:p>
    <w:p w:rsidR="0099370C" w:rsidRDefault="0099370C" w:rsidP="0099370C">
      <w:pPr>
        <w:pStyle w:val="NormalWeb"/>
      </w:pPr>
      <w:r>
        <w:rPr>
          <w:rFonts w:ascii="Arial" w:hAnsi="Arial" w:cs="Arial"/>
          <w:sz w:val="20"/>
          <w:szCs w:val="20"/>
        </w:rPr>
        <w:t xml:space="preserve">Hay un elemento probabilístico de importancia en el constructivismo social. No se niega que algunos individuos pueden ser más inteligentes que otros. Esto es, que en igualdad de </w:t>
      </w:r>
      <w:r>
        <w:rPr>
          <w:rFonts w:ascii="Arial" w:hAnsi="Arial" w:cs="Arial"/>
          <w:sz w:val="20"/>
          <w:szCs w:val="20"/>
        </w:rPr>
        <w:lastRenderedPageBreak/>
        <w:t xml:space="preserve">circunstancias existan individuos que elaboren estructuras mentales más eficientes que otros. Pero para el constructivismo social esta diferencia es totalmente secundaria cuando se compara con el poder de la interacción social. La construcción mental de significados es altamente improbable si no existe el andamiaje externo dado por un agente social. </w:t>
      </w:r>
      <w:r>
        <w:rPr>
          <w:rFonts w:ascii="Arial" w:hAnsi="Arial" w:cs="Arial"/>
          <w:sz w:val="20"/>
          <w:szCs w:val="20"/>
        </w:rPr>
        <w:br/>
        <w:t xml:space="preserve">La mente para lograr sus cometidos constructivistas, </w:t>
      </w:r>
      <w:r>
        <w:rPr>
          <w:rFonts w:ascii="Arial" w:hAnsi="Arial" w:cs="Arial"/>
          <w:b/>
          <w:bCs/>
          <w:sz w:val="20"/>
          <w:szCs w:val="20"/>
        </w:rPr>
        <w:t xml:space="preserve">necesita no sólo de sí misma, sino del contexto social que la soporta. </w:t>
      </w:r>
      <w:r>
        <w:rPr>
          <w:rFonts w:ascii="Arial" w:hAnsi="Arial" w:cs="Arial"/>
          <w:sz w:val="20"/>
          <w:szCs w:val="20"/>
        </w:rPr>
        <w:t>La mente, en resumen, tiene marcada con tinta imborrable los parámetros de pensamiento impuestos por un contexto social.</w:t>
      </w:r>
      <w:r>
        <w:t xml:space="preserve"> </w:t>
      </w:r>
    </w:p>
    <w:tbl>
      <w:tblPr>
        <w:tblW w:w="3300" w:type="pct"/>
        <w:jc w:val="center"/>
        <w:tblCellSpacing w:w="0" w:type="dxa"/>
        <w:tblBorders>
          <w:top w:val="outset" w:sz="6" w:space="0" w:color="000066"/>
          <w:left w:val="outset" w:sz="6" w:space="0" w:color="000066"/>
          <w:bottom w:val="outset" w:sz="6" w:space="0" w:color="000066"/>
          <w:right w:val="outset" w:sz="6" w:space="0" w:color="000066"/>
        </w:tblBorders>
        <w:tblCellMar>
          <w:top w:w="15" w:type="dxa"/>
          <w:left w:w="15" w:type="dxa"/>
          <w:bottom w:w="15" w:type="dxa"/>
          <w:right w:w="15" w:type="dxa"/>
        </w:tblCellMar>
        <w:tblLook w:val="0000"/>
      </w:tblPr>
      <w:tblGrid>
        <w:gridCol w:w="1110"/>
        <w:gridCol w:w="6256"/>
      </w:tblGrid>
      <w:tr w:rsidR="0099370C">
        <w:trPr>
          <w:tblCellSpacing w:w="0" w:type="dxa"/>
          <w:jc w:val="center"/>
        </w:trPr>
        <w:tc>
          <w:tcPr>
            <w:tcW w:w="650" w:type="pct"/>
            <w:tcBorders>
              <w:top w:val="outset" w:sz="6" w:space="0" w:color="000066"/>
              <w:left w:val="outset" w:sz="6" w:space="0" w:color="000066"/>
              <w:bottom w:val="outset" w:sz="6" w:space="0" w:color="000066"/>
              <w:right w:val="outset" w:sz="6" w:space="0" w:color="000066"/>
            </w:tcBorders>
            <w:vAlign w:val="center"/>
          </w:tcPr>
          <w:p w:rsidR="0099370C" w:rsidRDefault="00A22884">
            <w:r>
              <w:rPr>
                <w:noProof/>
                <w:lang w:val="es-CO" w:eastAsia="es-CO"/>
              </w:rPr>
              <w:drawing>
                <wp:inline distT="0" distB="0" distL="0" distR="0">
                  <wp:extent cx="638175" cy="447675"/>
                  <wp:effectExtent l="19050" t="0" r="9525" b="0"/>
                  <wp:docPr id="2" name="Imagen 2" descr="i_ligas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ligashttp"/>
                          <pic:cNvPicPr>
                            <a:picLocks noChangeAspect="1" noChangeArrowheads="1"/>
                          </pic:cNvPicPr>
                        </pic:nvPicPr>
                        <pic:blipFill>
                          <a:blip r:embed="rId6"/>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c>
          <w:tcPr>
            <w:tcW w:w="4350" w:type="pct"/>
            <w:tcBorders>
              <w:top w:val="outset" w:sz="6" w:space="0" w:color="000066"/>
              <w:left w:val="outset" w:sz="6" w:space="0" w:color="000066"/>
              <w:bottom w:val="outset" w:sz="6" w:space="0" w:color="000066"/>
              <w:right w:val="outset" w:sz="6" w:space="0" w:color="000066"/>
            </w:tcBorders>
            <w:vAlign w:val="center"/>
          </w:tcPr>
          <w:p w:rsidR="0099370C" w:rsidRDefault="0099370C">
            <w:pPr>
              <w:pStyle w:val="NormalWeb"/>
            </w:pPr>
            <w:r>
              <w:rPr>
                <w:rFonts w:ascii="Arial" w:hAnsi="Arial" w:cs="Arial"/>
                <w:color w:val="000000"/>
                <w:sz w:val="20"/>
                <w:szCs w:val="20"/>
              </w:rPr>
              <w:t>Si desea mayor información sobre el constructivismo y sus precursores puede visitar la siguiente liga:</w:t>
            </w:r>
            <w:r>
              <w:t xml:space="preserve"> </w:t>
            </w:r>
          </w:p>
          <w:p w:rsidR="0099370C" w:rsidRDefault="0099370C">
            <w:pPr>
              <w:pStyle w:val="NormalWeb"/>
            </w:pPr>
            <w:smartTag w:uri="urn:schemas-microsoft-com:office:smarttags" w:element="PlaceType">
              <w:r w:rsidRPr="0099370C">
                <w:rPr>
                  <w:rFonts w:ascii="Arial" w:hAnsi="Arial" w:cs="Arial"/>
                  <w:sz w:val="20"/>
                  <w:szCs w:val="20"/>
                  <w:lang w:val="en-US"/>
                </w:rPr>
                <w:t>University</w:t>
              </w:r>
            </w:smartTag>
            <w:r w:rsidRPr="0099370C">
              <w:rPr>
                <w:rFonts w:ascii="Arial" w:hAnsi="Arial" w:cs="Arial"/>
                <w:sz w:val="20"/>
                <w:szCs w:val="20"/>
                <w:lang w:val="en-US"/>
              </w:rPr>
              <w:t xml:space="preserve"> of </w:t>
            </w:r>
            <w:smartTag w:uri="urn:schemas-microsoft-com:office:smarttags" w:element="PlaceName">
              <w:r w:rsidRPr="0099370C">
                <w:rPr>
                  <w:rFonts w:ascii="Arial" w:hAnsi="Arial" w:cs="Arial"/>
                  <w:sz w:val="20"/>
                  <w:szCs w:val="20"/>
                  <w:lang w:val="en-US"/>
                </w:rPr>
                <w:t>Colorado</w:t>
              </w:r>
            </w:smartTag>
            <w:r w:rsidRPr="0099370C">
              <w:rPr>
                <w:rFonts w:ascii="Arial" w:hAnsi="Arial" w:cs="Arial"/>
                <w:sz w:val="20"/>
                <w:szCs w:val="20"/>
                <w:lang w:val="en-US"/>
              </w:rPr>
              <w:t xml:space="preserve"> at </w:t>
            </w:r>
            <w:smartTag w:uri="urn:schemas-microsoft-com:office:smarttags" w:element="place">
              <w:smartTag w:uri="urn:schemas-microsoft-com:office:smarttags" w:element="PlaceName">
                <w:r w:rsidRPr="0099370C">
                  <w:rPr>
                    <w:rFonts w:ascii="Arial" w:hAnsi="Arial" w:cs="Arial"/>
                    <w:sz w:val="20"/>
                    <w:szCs w:val="20"/>
                    <w:lang w:val="en-US"/>
                  </w:rPr>
                  <w:t>Denver</w:t>
                </w:r>
              </w:smartTag>
              <w:r w:rsidRPr="0099370C">
                <w:rPr>
                  <w:rFonts w:ascii="Arial" w:hAnsi="Arial" w:cs="Arial"/>
                  <w:sz w:val="20"/>
                  <w:szCs w:val="20"/>
                  <w:lang w:val="en-US"/>
                </w:rPr>
                <w:t xml:space="preserve"> </w:t>
              </w:r>
              <w:smartTag w:uri="urn:schemas-microsoft-com:office:smarttags" w:element="PlaceType">
                <w:r w:rsidRPr="0099370C">
                  <w:rPr>
                    <w:rFonts w:ascii="Arial" w:hAnsi="Arial" w:cs="Arial"/>
                    <w:sz w:val="20"/>
                    <w:szCs w:val="20"/>
                    <w:lang w:val="en-US"/>
                  </w:rPr>
                  <w:t>School</w:t>
                </w:r>
              </w:smartTag>
            </w:smartTag>
            <w:r w:rsidRPr="0099370C">
              <w:rPr>
                <w:rFonts w:ascii="Arial" w:hAnsi="Arial" w:cs="Arial"/>
                <w:sz w:val="20"/>
                <w:szCs w:val="20"/>
                <w:lang w:val="en-US"/>
              </w:rPr>
              <w:t xml:space="preserve"> of Education. </w:t>
            </w:r>
            <w:proofErr w:type="spellStart"/>
            <w:r>
              <w:rPr>
                <w:rFonts w:ascii="Arial" w:hAnsi="Arial" w:cs="Arial"/>
                <w:sz w:val="20"/>
                <w:szCs w:val="20"/>
              </w:rPr>
              <w:t>Constructivism</w:t>
            </w:r>
            <w:proofErr w:type="spellEnd"/>
            <w:r>
              <w:rPr>
                <w:rFonts w:ascii="Arial" w:hAnsi="Arial" w:cs="Arial"/>
                <w:sz w:val="20"/>
                <w:szCs w:val="20"/>
              </w:rPr>
              <w:t xml:space="preserve"> (información en inglés)</w:t>
            </w:r>
            <w:r>
              <w:rPr>
                <w:rFonts w:ascii="Arial" w:hAnsi="Arial" w:cs="Arial"/>
                <w:sz w:val="20"/>
                <w:szCs w:val="20"/>
              </w:rPr>
              <w:br/>
            </w:r>
            <w:hyperlink r:id="rId7" w:history="1">
              <w:r>
                <w:rPr>
                  <w:rStyle w:val="Hipervnculo"/>
                  <w:rFonts w:ascii="Arial" w:hAnsi="Arial" w:cs="Arial"/>
                  <w:b/>
                  <w:bCs/>
                  <w:sz w:val="20"/>
                  <w:szCs w:val="20"/>
                </w:rPr>
                <w:t>http://carbon.cudenver.edu/~mryder/itc_data/constructivism.html</w:t>
              </w:r>
            </w:hyperlink>
          </w:p>
        </w:tc>
      </w:tr>
    </w:tbl>
    <w:p w:rsidR="0099370C" w:rsidRDefault="0099370C" w:rsidP="0099370C">
      <w:pPr>
        <w:pStyle w:val="NormalWeb"/>
      </w:pPr>
      <w:bookmarkStart w:id="1" w:name="1"/>
      <w:bookmarkEnd w:id="1"/>
      <w:smartTag w:uri="urn:schemas-microsoft-com:office:smarttags" w:element="PersonName">
        <w:smartTagPr>
          <w:attr w:name="ProductID" w:val="La Dra.Reta DeVries"/>
        </w:smartTagPr>
        <w:r>
          <w:rPr>
            <w:rFonts w:ascii="Arial" w:hAnsi="Arial" w:cs="Arial"/>
            <w:sz w:val="20"/>
            <w:szCs w:val="20"/>
          </w:rPr>
          <w:t xml:space="preserve">La </w:t>
        </w:r>
        <w:proofErr w:type="spellStart"/>
        <w:r>
          <w:rPr>
            <w:rFonts w:ascii="Arial" w:hAnsi="Arial" w:cs="Arial"/>
            <w:sz w:val="20"/>
            <w:szCs w:val="20"/>
          </w:rPr>
          <w:t>Dra.Reta</w:t>
        </w:r>
        <w:proofErr w:type="spellEnd"/>
        <w:r>
          <w:rPr>
            <w:rFonts w:ascii="Arial" w:hAnsi="Arial" w:cs="Arial"/>
            <w:sz w:val="20"/>
            <w:szCs w:val="20"/>
          </w:rPr>
          <w:t xml:space="preserve"> </w:t>
        </w:r>
        <w:proofErr w:type="spellStart"/>
        <w:r>
          <w:rPr>
            <w:rFonts w:ascii="Arial" w:hAnsi="Arial" w:cs="Arial"/>
            <w:sz w:val="20"/>
            <w:szCs w:val="20"/>
          </w:rPr>
          <w:t>DeVries</w:t>
        </w:r>
      </w:smartTag>
      <w:proofErr w:type="spellEnd"/>
      <w:r>
        <w:rPr>
          <w:rFonts w:ascii="Arial" w:hAnsi="Arial" w:cs="Arial"/>
          <w:sz w:val="20"/>
          <w:szCs w:val="20"/>
        </w:rPr>
        <w:t xml:space="preserve"> (1984) propone que para iniciarse como maestro constructivista deben generarse cambios importantes en la práctica, destacando los siguientes:</w:t>
      </w:r>
    </w:p>
    <w:tbl>
      <w:tblPr>
        <w:tblW w:w="4900" w:type="pct"/>
        <w:tblCellSpacing w:w="15" w:type="dxa"/>
        <w:tblCellMar>
          <w:top w:w="15" w:type="dxa"/>
          <w:left w:w="15" w:type="dxa"/>
          <w:bottom w:w="15" w:type="dxa"/>
          <w:right w:w="15" w:type="dxa"/>
        </w:tblCellMar>
        <w:tblLook w:val="0000"/>
      </w:tblPr>
      <w:tblGrid>
        <w:gridCol w:w="2730"/>
        <w:gridCol w:w="6021"/>
      </w:tblGrid>
      <w:tr w:rsidR="0099370C">
        <w:trPr>
          <w:tblCellSpacing w:w="15" w:type="dxa"/>
        </w:trPr>
        <w:tc>
          <w:tcPr>
            <w:tcW w:w="1550" w:type="pct"/>
            <w:vAlign w:val="center"/>
          </w:tcPr>
          <w:p w:rsidR="0099370C" w:rsidRDefault="0099370C">
            <w:pPr>
              <w:numPr>
                <w:ilvl w:val="0"/>
                <w:numId w:val="1"/>
              </w:numPr>
              <w:spacing w:before="100" w:beforeAutospacing="1" w:after="100" w:afterAutospacing="1"/>
            </w:pPr>
            <w:r>
              <w:rPr>
                <w:rFonts w:ascii="Arial" w:hAnsi="Arial" w:cs="Arial"/>
                <w:sz w:val="20"/>
                <w:szCs w:val="20"/>
              </w:rPr>
              <w:t xml:space="preserve">De la instrucción a construcción. </w:t>
            </w:r>
          </w:p>
          <w:p w:rsidR="0099370C" w:rsidRDefault="0099370C">
            <w:pPr>
              <w:numPr>
                <w:ilvl w:val="0"/>
                <w:numId w:val="1"/>
              </w:numPr>
              <w:spacing w:before="100" w:beforeAutospacing="1" w:after="100" w:afterAutospacing="1"/>
            </w:pPr>
            <w:r>
              <w:rPr>
                <w:rFonts w:ascii="Arial" w:hAnsi="Arial" w:cs="Arial"/>
                <w:sz w:val="20"/>
                <w:szCs w:val="20"/>
              </w:rPr>
              <w:t xml:space="preserve">Del refuerzo al interés. </w:t>
            </w:r>
          </w:p>
          <w:p w:rsidR="0099370C" w:rsidRDefault="0099370C">
            <w:pPr>
              <w:numPr>
                <w:ilvl w:val="0"/>
                <w:numId w:val="1"/>
              </w:numPr>
              <w:spacing w:before="100" w:beforeAutospacing="1" w:after="100" w:afterAutospacing="1"/>
            </w:pPr>
            <w:r>
              <w:rPr>
                <w:rFonts w:ascii="Arial" w:hAnsi="Arial" w:cs="Arial"/>
                <w:sz w:val="20"/>
                <w:szCs w:val="20"/>
              </w:rPr>
              <w:t xml:space="preserve">De la obediencia a la autonomía. </w:t>
            </w:r>
          </w:p>
          <w:p w:rsidR="0099370C" w:rsidRDefault="0099370C">
            <w:pPr>
              <w:numPr>
                <w:ilvl w:val="0"/>
                <w:numId w:val="1"/>
              </w:numPr>
              <w:spacing w:before="100" w:beforeAutospacing="1" w:after="100" w:afterAutospacing="1"/>
            </w:pPr>
            <w:r>
              <w:rPr>
                <w:rFonts w:ascii="Arial" w:hAnsi="Arial" w:cs="Arial"/>
                <w:sz w:val="20"/>
                <w:szCs w:val="20"/>
              </w:rPr>
              <w:t>De la restricción a la cooperación.</w:t>
            </w:r>
          </w:p>
        </w:tc>
        <w:tc>
          <w:tcPr>
            <w:tcW w:w="3450" w:type="pct"/>
            <w:vAlign w:val="center"/>
          </w:tcPr>
          <w:tbl>
            <w:tblPr>
              <w:tblW w:w="4250" w:type="pct"/>
              <w:jc w:val="center"/>
              <w:tblCellSpacing w:w="15" w:type="dxa"/>
              <w:tblBorders>
                <w:top w:val="outset" w:sz="12" w:space="0" w:color="000066"/>
                <w:left w:val="outset" w:sz="12" w:space="0" w:color="000066"/>
                <w:bottom w:val="outset" w:sz="12" w:space="0" w:color="000066"/>
                <w:right w:val="outset" w:sz="12" w:space="0" w:color="000066"/>
              </w:tblBorders>
              <w:tblCellMar>
                <w:top w:w="15" w:type="dxa"/>
                <w:left w:w="15" w:type="dxa"/>
                <w:bottom w:w="15" w:type="dxa"/>
                <w:right w:w="15" w:type="dxa"/>
              </w:tblCellMar>
              <w:tblLook w:val="0000"/>
            </w:tblPr>
            <w:tblGrid>
              <w:gridCol w:w="5041"/>
            </w:tblGrid>
            <w:tr w:rsidR="0099370C">
              <w:trPr>
                <w:trHeight w:val="30"/>
                <w:tblCellSpacing w:w="15" w:type="dxa"/>
                <w:jc w:val="center"/>
              </w:trPr>
              <w:tc>
                <w:tcPr>
                  <w:tcW w:w="0" w:type="auto"/>
                  <w:tcBorders>
                    <w:top w:val="outset" w:sz="6" w:space="0" w:color="000066"/>
                    <w:left w:val="outset" w:sz="6" w:space="0" w:color="000066"/>
                    <w:bottom w:val="outset" w:sz="6" w:space="0" w:color="000066"/>
                    <w:right w:val="outset" w:sz="6" w:space="0" w:color="000066"/>
                  </w:tcBorders>
                  <w:vAlign w:val="center"/>
                </w:tcPr>
                <w:p w:rsidR="0099370C" w:rsidRDefault="0099370C">
                  <w:pPr>
                    <w:spacing w:line="30" w:lineRule="atLeast"/>
                  </w:pPr>
                  <w:r>
                    <w:rPr>
                      <w:rFonts w:ascii="Arial" w:hAnsi="Arial" w:cs="Arial"/>
                      <w:sz w:val="20"/>
                      <w:szCs w:val="20"/>
                    </w:rPr>
                    <w:t xml:space="preserve">Si desea profundizar en la información sobre cómo es un maestro constructivista, lea el siguiente documento escrito por </w:t>
                  </w:r>
                  <w:smartTag w:uri="urn:schemas-microsoft-com:office:smarttags" w:element="PersonName">
                    <w:smartTagPr>
                      <w:attr w:name="ProductID" w:val="la Dra. DeVries"/>
                    </w:smartTagPr>
                    <w:r>
                      <w:rPr>
                        <w:rFonts w:ascii="Arial" w:hAnsi="Arial" w:cs="Arial"/>
                        <w:sz w:val="20"/>
                        <w:szCs w:val="20"/>
                      </w:rPr>
                      <w:t xml:space="preserve">la Dra. </w:t>
                    </w:r>
                    <w:proofErr w:type="spellStart"/>
                    <w:r>
                      <w:rPr>
                        <w:rFonts w:ascii="Arial" w:hAnsi="Arial" w:cs="Arial"/>
                        <w:sz w:val="20"/>
                        <w:szCs w:val="20"/>
                      </w:rPr>
                      <w:t>DeVries</w:t>
                    </w:r>
                  </w:smartTag>
                  <w:proofErr w:type="spellEnd"/>
                  <w:r>
                    <w:rPr>
                      <w:rFonts w:ascii="Arial" w:hAnsi="Arial" w:cs="Arial"/>
                      <w:sz w:val="20"/>
                      <w:szCs w:val="20"/>
                    </w:rPr>
                    <w:t xml:space="preserve"> titulado: "</w:t>
                  </w:r>
                  <w:hyperlink r:id="rId8" w:tgtFrame="_blank" w:history="1">
                    <w:r>
                      <w:rPr>
                        <w:rStyle w:val="Hipervnculo"/>
                        <w:rFonts w:ascii="Arial" w:hAnsi="Arial" w:cs="Arial"/>
                        <w:sz w:val="20"/>
                        <w:szCs w:val="20"/>
                      </w:rPr>
                      <w:t xml:space="preserve">Como ser un maestro </w:t>
                    </w:r>
                    <w:proofErr w:type="spellStart"/>
                    <w:r>
                      <w:rPr>
                        <w:rStyle w:val="Hipervnculo"/>
                        <w:rFonts w:ascii="Arial" w:hAnsi="Arial" w:cs="Arial"/>
                        <w:sz w:val="20"/>
                        <w:szCs w:val="20"/>
                      </w:rPr>
                      <w:t>construcivista</w:t>
                    </w:r>
                    <w:proofErr w:type="spellEnd"/>
                  </w:hyperlink>
                  <w:r>
                    <w:rPr>
                      <w:rFonts w:ascii="Arial" w:hAnsi="Arial" w:cs="Arial"/>
                      <w:sz w:val="20"/>
                      <w:szCs w:val="20"/>
                    </w:rPr>
                    <w:t>".</w:t>
                  </w:r>
                  <w:r>
                    <w:rPr>
                      <w:rFonts w:ascii="Arial" w:hAnsi="Arial" w:cs="Arial"/>
                      <w:sz w:val="20"/>
                      <w:szCs w:val="20"/>
                    </w:rPr>
                    <w:br/>
                    <w:t xml:space="preserve">Adicionalmente lea: </w:t>
                  </w:r>
                  <w:hyperlink r:id="rId9" w:tgtFrame="_self" w:history="1">
                    <w:r>
                      <w:rPr>
                        <w:rStyle w:val="Hipervnculo"/>
                        <w:rFonts w:ascii="Arial" w:hAnsi="Arial" w:cs="Arial"/>
                        <w:sz w:val="20"/>
                        <w:szCs w:val="20"/>
                      </w:rPr>
                      <w:t>Diferencias entre un salón de clase tradicional y un salón de clase constructivista.</w:t>
                    </w:r>
                  </w:hyperlink>
                </w:p>
              </w:tc>
            </w:tr>
          </w:tbl>
          <w:p w:rsidR="0099370C" w:rsidRDefault="0099370C"/>
        </w:tc>
      </w:tr>
    </w:tbl>
    <w:p w:rsidR="0099370C" w:rsidRDefault="0099370C" w:rsidP="0099370C">
      <w:pPr>
        <w:spacing w:after="240"/>
      </w:pPr>
    </w:p>
    <w:tbl>
      <w:tblPr>
        <w:tblW w:w="4000" w:type="pct"/>
        <w:jc w:val="center"/>
        <w:tblCellSpacing w:w="0" w:type="dxa"/>
        <w:tblBorders>
          <w:top w:val="outset" w:sz="6" w:space="0" w:color="000066"/>
          <w:left w:val="outset" w:sz="6" w:space="0" w:color="000066"/>
          <w:bottom w:val="outset" w:sz="6" w:space="0" w:color="000066"/>
          <w:right w:val="outset" w:sz="6" w:space="0" w:color="000066"/>
        </w:tblBorders>
        <w:tblCellMar>
          <w:top w:w="15" w:type="dxa"/>
          <w:left w:w="15" w:type="dxa"/>
          <w:bottom w:w="15" w:type="dxa"/>
          <w:right w:w="15" w:type="dxa"/>
        </w:tblCellMar>
        <w:tblLook w:val="0000"/>
      </w:tblPr>
      <w:tblGrid>
        <w:gridCol w:w="1110"/>
        <w:gridCol w:w="7691"/>
      </w:tblGrid>
      <w:tr w:rsidR="0099370C">
        <w:trPr>
          <w:tblCellSpacing w:w="0" w:type="dxa"/>
          <w:jc w:val="center"/>
        </w:trPr>
        <w:tc>
          <w:tcPr>
            <w:tcW w:w="650" w:type="pct"/>
            <w:tcBorders>
              <w:top w:val="outset" w:sz="6" w:space="0" w:color="000066"/>
              <w:left w:val="outset" w:sz="6" w:space="0" w:color="000066"/>
              <w:bottom w:val="outset" w:sz="6" w:space="0" w:color="000066"/>
              <w:right w:val="outset" w:sz="6" w:space="0" w:color="000066"/>
            </w:tcBorders>
            <w:vAlign w:val="center"/>
          </w:tcPr>
          <w:p w:rsidR="0099370C" w:rsidRDefault="00A22884">
            <w:pPr>
              <w:jc w:val="center"/>
            </w:pPr>
            <w:r>
              <w:rPr>
                <w:noProof/>
                <w:lang w:val="es-CO" w:eastAsia="es-CO"/>
              </w:rPr>
              <w:drawing>
                <wp:inline distT="0" distB="0" distL="0" distR="0">
                  <wp:extent cx="638175" cy="447675"/>
                  <wp:effectExtent l="19050" t="0" r="9525" b="0"/>
                  <wp:docPr id="3" name="Imagen 3" descr="i_ligas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ligashttp"/>
                          <pic:cNvPicPr>
                            <a:picLocks noChangeAspect="1" noChangeArrowheads="1"/>
                          </pic:cNvPicPr>
                        </pic:nvPicPr>
                        <pic:blipFill>
                          <a:blip r:embed="rId6"/>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c>
          <w:tcPr>
            <w:tcW w:w="4350" w:type="pct"/>
            <w:tcBorders>
              <w:top w:val="outset" w:sz="6" w:space="0" w:color="000066"/>
              <w:left w:val="outset" w:sz="6" w:space="0" w:color="000066"/>
              <w:bottom w:val="outset" w:sz="6" w:space="0" w:color="000066"/>
              <w:right w:val="outset" w:sz="6" w:space="0" w:color="000066"/>
            </w:tcBorders>
            <w:vAlign w:val="center"/>
          </w:tcPr>
          <w:p w:rsidR="0099370C" w:rsidRDefault="0099370C">
            <w:pPr>
              <w:spacing w:before="100" w:beforeAutospacing="1" w:after="100" w:afterAutospacing="1"/>
              <w:jc w:val="both"/>
            </w:pPr>
            <w:r>
              <w:rPr>
                <w:rFonts w:ascii="Arial" w:hAnsi="Arial" w:cs="Arial"/>
                <w:sz w:val="20"/>
                <w:szCs w:val="20"/>
              </w:rPr>
              <w:t xml:space="preserve">Si desea más información acerca del constructivismo, consulte las siguientes páginas electrónicas: </w:t>
            </w:r>
          </w:p>
          <w:p w:rsidR="0099370C" w:rsidRDefault="0099370C">
            <w:pPr>
              <w:numPr>
                <w:ilvl w:val="0"/>
                <w:numId w:val="2"/>
              </w:numPr>
              <w:spacing w:before="100" w:beforeAutospacing="1" w:after="100" w:afterAutospacing="1"/>
            </w:pPr>
            <w:r>
              <w:rPr>
                <w:rFonts w:ascii="Arial" w:hAnsi="Arial" w:cs="Arial"/>
                <w:sz w:val="20"/>
                <w:szCs w:val="20"/>
              </w:rPr>
              <w:t>Principios teóricos y ejemplos de constructivismo en una clase de matemáticas</w:t>
            </w:r>
            <w:r>
              <w:rPr>
                <w:rFonts w:ascii="Arial" w:hAnsi="Arial" w:cs="Arial"/>
                <w:sz w:val="20"/>
                <w:szCs w:val="20"/>
              </w:rPr>
              <w:br/>
            </w:r>
            <w:hyperlink r:id="rId10" w:history="1">
              <w:r>
                <w:rPr>
                  <w:rStyle w:val="Hipervnculo"/>
                  <w:rFonts w:ascii="Arial" w:hAnsi="Arial" w:cs="Arial"/>
                  <w:sz w:val="20"/>
                  <w:szCs w:val="20"/>
                </w:rPr>
                <w:t>http://www.sedl.org/scimath/compass/v01n03/welcome.html</w:t>
              </w:r>
            </w:hyperlink>
            <w:r>
              <w:t xml:space="preserve"> </w:t>
            </w:r>
          </w:p>
          <w:p w:rsidR="0099370C" w:rsidRDefault="0099370C">
            <w:pPr>
              <w:numPr>
                <w:ilvl w:val="0"/>
                <w:numId w:val="2"/>
              </w:numPr>
              <w:spacing w:before="100" w:beforeAutospacing="1" w:after="100" w:afterAutospacing="1"/>
            </w:pPr>
            <w:r>
              <w:rPr>
                <w:rFonts w:ascii="Arial" w:hAnsi="Arial" w:cs="Arial"/>
                <w:sz w:val="20"/>
                <w:szCs w:val="20"/>
              </w:rPr>
              <w:t>Artículos varios de constructivismo</w:t>
            </w:r>
            <w:r>
              <w:rPr>
                <w:rFonts w:ascii="Arial" w:hAnsi="Arial" w:cs="Arial"/>
                <w:sz w:val="20"/>
                <w:szCs w:val="20"/>
              </w:rPr>
              <w:br/>
            </w:r>
            <w:hyperlink r:id="rId11" w:history="1">
              <w:r>
                <w:rPr>
                  <w:rStyle w:val="Hipervnculo"/>
                  <w:rFonts w:ascii="Arial" w:hAnsi="Arial" w:cs="Arial"/>
                  <w:sz w:val="20"/>
                  <w:szCs w:val="20"/>
                </w:rPr>
                <w:t>http://carbon.cudenver.edu/~mryder/itc_data/constructivism.html</w:t>
              </w:r>
            </w:hyperlink>
            <w:r>
              <w:t xml:space="preserve"> </w:t>
            </w:r>
          </w:p>
          <w:p w:rsidR="0099370C" w:rsidRDefault="0099370C">
            <w:pPr>
              <w:numPr>
                <w:ilvl w:val="0"/>
                <w:numId w:val="2"/>
              </w:numPr>
              <w:spacing w:before="100" w:beforeAutospacing="1" w:after="100" w:afterAutospacing="1"/>
            </w:pPr>
            <w:r>
              <w:rPr>
                <w:rFonts w:ascii="Arial" w:hAnsi="Arial" w:cs="Arial"/>
                <w:sz w:val="20"/>
                <w:szCs w:val="20"/>
              </w:rPr>
              <w:t>Principios teóricos del constructivismo</w:t>
            </w:r>
            <w:r>
              <w:rPr>
                <w:rFonts w:ascii="Arial" w:hAnsi="Arial" w:cs="Arial"/>
                <w:sz w:val="20"/>
                <w:szCs w:val="20"/>
              </w:rPr>
              <w:br/>
            </w:r>
            <w:hyperlink r:id="rId12" w:history="1">
              <w:r>
                <w:rPr>
                  <w:rStyle w:val="Hipervnculo"/>
                  <w:rFonts w:ascii="Arial" w:hAnsi="Arial" w:cs="Arial"/>
                  <w:sz w:val="20"/>
                  <w:szCs w:val="20"/>
                </w:rPr>
                <w:t>http://www.coe.uh.edu/~ichen/ebook/ET-IT/constr.htm</w:t>
              </w:r>
            </w:hyperlink>
            <w:r>
              <w:rPr>
                <w:rFonts w:ascii="Arial" w:hAnsi="Arial" w:cs="Arial"/>
                <w:sz w:val="20"/>
                <w:szCs w:val="20"/>
              </w:rPr>
              <w:br/>
            </w:r>
            <w:hyperlink r:id="rId13" w:history="1">
              <w:r>
                <w:rPr>
                  <w:rStyle w:val="Hipervnculo"/>
                  <w:rFonts w:ascii="Arial" w:hAnsi="Arial" w:cs="Arial"/>
                  <w:sz w:val="20"/>
                  <w:szCs w:val="20"/>
                </w:rPr>
                <w:t>http://www.tochtli.fisica.uson.mx/educacion/la_psicología_de_aprendizaje_del.htm</w:t>
              </w:r>
            </w:hyperlink>
            <w:r>
              <w:rPr>
                <w:rFonts w:ascii="Arial" w:hAnsi="Arial" w:cs="Arial"/>
                <w:sz w:val="20"/>
                <w:szCs w:val="20"/>
              </w:rPr>
              <w:t xml:space="preserve"> (información en español).</w:t>
            </w:r>
            <w:r>
              <w:t xml:space="preserve"> </w:t>
            </w:r>
          </w:p>
        </w:tc>
      </w:tr>
    </w:tbl>
    <w:p w:rsidR="007E3435" w:rsidRDefault="007E3435"/>
    <w:p w:rsidR="00420BBF" w:rsidRDefault="00647070">
      <w:r>
        <w:t>Revisar correos</w:t>
      </w:r>
    </w:p>
    <w:p w:rsidR="00420BBF" w:rsidRPr="00420BBF" w:rsidRDefault="00420BBF">
      <w:pPr>
        <w:rPr>
          <w:color w:val="993300"/>
        </w:rPr>
      </w:pPr>
      <w:r w:rsidRPr="00420BBF">
        <w:rPr>
          <w:color w:val="993300"/>
        </w:rPr>
        <w:t>http://www.cca.org.mx/profesores/cursos/cep21-tec/modulo_1/m1_liga1.htm</w:t>
      </w:r>
    </w:p>
    <w:p w:rsidR="00420BBF" w:rsidRPr="00647070" w:rsidRDefault="00647070">
      <w:pPr>
        <w:rPr>
          <w:color w:val="993300"/>
        </w:rPr>
      </w:pPr>
      <w:r w:rsidRPr="00647070">
        <w:rPr>
          <w:color w:val="993300"/>
        </w:rPr>
        <w:t>http://www.cibersociedad.net/congres2006/gts/comunicacio.php?llengua=es&amp;id=782</w:t>
      </w:r>
    </w:p>
    <w:sectPr w:rsidR="00420BBF" w:rsidRPr="00647070" w:rsidSect="009A5C96">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D86"/>
    <w:multiLevelType w:val="multilevel"/>
    <w:tmpl w:val="7D4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D54CA"/>
    <w:multiLevelType w:val="multilevel"/>
    <w:tmpl w:val="271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99370C"/>
    <w:rsid w:val="00072B6B"/>
    <w:rsid w:val="000735DD"/>
    <w:rsid w:val="00094CF4"/>
    <w:rsid w:val="000B35C4"/>
    <w:rsid w:val="00362E88"/>
    <w:rsid w:val="003E43C9"/>
    <w:rsid w:val="00420BBF"/>
    <w:rsid w:val="00640692"/>
    <w:rsid w:val="00647070"/>
    <w:rsid w:val="006E1BC1"/>
    <w:rsid w:val="00703E44"/>
    <w:rsid w:val="00704FAC"/>
    <w:rsid w:val="00714535"/>
    <w:rsid w:val="00763547"/>
    <w:rsid w:val="007E3435"/>
    <w:rsid w:val="00837F0C"/>
    <w:rsid w:val="008601ED"/>
    <w:rsid w:val="008A74E4"/>
    <w:rsid w:val="00925B2A"/>
    <w:rsid w:val="00970625"/>
    <w:rsid w:val="0099370C"/>
    <w:rsid w:val="009A5C96"/>
    <w:rsid w:val="00A00659"/>
    <w:rsid w:val="00A22884"/>
    <w:rsid w:val="00A6320F"/>
    <w:rsid w:val="00A6631B"/>
    <w:rsid w:val="00D72115"/>
    <w:rsid w:val="00E07D09"/>
    <w:rsid w:val="00EC1739"/>
    <w:rsid w:val="00F63C7A"/>
    <w:rsid w:val="00FD72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BC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9370C"/>
    <w:pPr>
      <w:spacing w:before="100" w:beforeAutospacing="1" w:after="100" w:afterAutospacing="1"/>
    </w:pPr>
  </w:style>
  <w:style w:type="character" w:styleId="Hipervnculo">
    <w:name w:val="Hyperlink"/>
    <w:basedOn w:val="Fuentedeprrafopredeter"/>
    <w:rsid w:val="0099370C"/>
    <w:rPr>
      <w:color w:val="0000FF"/>
      <w:u w:val="single"/>
    </w:rPr>
  </w:style>
  <w:style w:type="character" w:styleId="Hipervnculovisitado">
    <w:name w:val="FollowedHyperlink"/>
    <w:basedOn w:val="Fuentedeprrafopredeter"/>
    <w:rsid w:val="00420BBF"/>
    <w:rPr>
      <w:color w:val="800080"/>
      <w:u w:val="single"/>
    </w:rPr>
  </w:style>
  <w:style w:type="paragraph" w:styleId="Textodeglobo">
    <w:name w:val="Balloon Text"/>
    <w:basedOn w:val="Normal"/>
    <w:link w:val="TextodegloboCar"/>
    <w:rsid w:val="00A6320F"/>
    <w:rPr>
      <w:rFonts w:ascii="Tahoma" w:hAnsi="Tahoma" w:cs="Tahoma"/>
      <w:sz w:val="16"/>
      <w:szCs w:val="16"/>
    </w:rPr>
  </w:style>
  <w:style w:type="character" w:customStyle="1" w:styleId="TextodegloboCar">
    <w:name w:val="Texto de globo Car"/>
    <w:basedOn w:val="Fuentedeprrafopredeter"/>
    <w:link w:val="Textodeglobo"/>
    <w:rsid w:val="00A6320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77158710">
      <w:bodyDiv w:val="1"/>
      <w:marLeft w:val="0"/>
      <w:marRight w:val="0"/>
      <w:marTop w:val="0"/>
      <w:marBottom w:val="0"/>
      <w:divBdr>
        <w:top w:val="none" w:sz="0" w:space="0" w:color="auto"/>
        <w:left w:val="none" w:sz="0" w:space="0" w:color="auto"/>
        <w:bottom w:val="none" w:sz="0" w:space="0" w:color="auto"/>
        <w:right w:val="none" w:sz="0" w:space="0" w:color="auto"/>
      </w:divBdr>
      <w:divsChild>
        <w:div w:id="227423718">
          <w:marLeft w:val="0"/>
          <w:marRight w:val="0"/>
          <w:marTop w:val="0"/>
          <w:marBottom w:val="0"/>
          <w:divBdr>
            <w:top w:val="none" w:sz="0" w:space="0" w:color="auto"/>
            <w:left w:val="none" w:sz="0" w:space="0" w:color="auto"/>
            <w:bottom w:val="none" w:sz="0" w:space="0" w:color="auto"/>
            <w:right w:val="none" w:sz="0" w:space="0" w:color="auto"/>
          </w:divBdr>
        </w:div>
        <w:div w:id="357388264">
          <w:marLeft w:val="0"/>
          <w:marRight w:val="0"/>
          <w:marTop w:val="0"/>
          <w:marBottom w:val="0"/>
          <w:divBdr>
            <w:top w:val="none" w:sz="0" w:space="0" w:color="auto"/>
            <w:left w:val="none" w:sz="0" w:space="0" w:color="auto"/>
            <w:bottom w:val="none" w:sz="0" w:space="0" w:color="auto"/>
            <w:right w:val="none" w:sz="0" w:space="0" w:color="auto"/>
          </w:divBdr>
          <w:divsChild>
            <w:div w:id="1998609882">
              <w:marLeft w:val="0"/>
              <w:marRight w:val="0"/>
              <w:marTop w:val="0"/>
              <w:marBottom w:val="0"/>
              <w:divBdr>
                <w:top w:val="none" w:sz="0" w:space="0" w:color="auto"/>
                <w:left w:val="none" w:sz="0" w:space="0" w:color="auto"/>
                <w:bottom w:val="none" w:sz="0" w:space="0" w:color="auto"/>
                <w:right w:val="none" w:sz="0" w:space="0" w:color="auto"/>
              </w:divBdr>
            </w:div>
          </w:divsChild>
        </w:div>
        <w:div w:id="682901475">
          <w:marLeft w:val="0"/>
          <w:marRight w:val="0"/>
          <w:marTop w:val="0"/>
          <w:marBottom w:val="0"/>
          <w:divBdr>
            <w:top w:val="none" w:sz="0" w:space="0" w:color="auto"/>
            <w:left w:val="none" w:sz="0" w:space="0" w:color="auto"/>
            <w:bottom w:val="none" w:sz="0" w:space="0" w:color="auto"/>
            <w:right w:val="none" w:sz="0" w:space="0" w:color="auto"/>
          </w:divBdr>
          <w:divsChild>
            <w:div w:id="2140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org.mx/profesores/cursos/cep21-tec/modulo_1/m1_liga1.htm" TargetMode="External"/><Relationship Id="rId13" Type="http://schemas.openxmlformats.org/officeDocument/2006/relationships/hyperlink" Target="http://www.tochtli.fisica.uson.mx/educacion/la_psicolog%EDa_de_aprendizaje_del.htm" TargetMode="External"/><Relationship Id="rId3" Type="http://schemas.openxmlformats.org/officeDocument/2006/relationships/settings" Target="settings.xml"/><Relationship Id="rId7" Type="http://schemas.openxmlformats.org/officeDocument/2006/relationships/hyperlink" Target="http://carbon.cudenver.edu/%7Emryder/itc_data/constructivism.html" TargetMode="External"/><Relationship Id="rId12" Type="http://schemas.openxmlformats.org/officeDocument/2006/relationships/hyperlink" Target="http://www.coe.uh.edu/~ichen/ebook/ET-IT/const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rbon.cudenver.edu/~mryder/itc_data/constructivism.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dl.org/scimath/compass/v01n03/welcome.html" TargetMode="External"/><Relationship Id="rId4" Type="http://schemas.openxmlformats.org/officeDocument/2006/relationships/webSettings" Target="webSettings.xml"/><Relationship Id="rId9" Type="http://schemas.openxmlformats.org/officeDocument/2006/relationships/hyperlink" Target="http://www.cca.org.mx/profesores/cursos/cep21-tec/modulo_1/salon%20de%20clase_constructivist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8364</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Constructivismo</vt:lpstr>
    </vt:vector>
  </TitlesOfParts>
  <Company>Familia</Company>
  <LinksUpToDate>false</LinksUpToDate>
  <CharactersWithSpaces>9610</CharactersWithSpaces>
  <SharedDoc>false</SharedDoc>
  <HLinks>
    <vt:vector size="42" baseType="variant">
      <vt:variant>
        <vt:i4>1835096</vt:i4>
      </vt:variant>
      <vt:variant>
        <vt:i4>27</vt:i4>
      </vt:variant>
      <vt:variant>
        <vt:i4>0</vt:i4>
      </vt:variant>
      <vt:variant>
        <vt:i4>5</vt:i4>
      </vt:variant>
      <vt:variant>
        <vt:lpwstr>http://www.tochtli.fisica.uson.mx/educacion/la_psicolog%EDa_de_aprendizaje_del.htm</vt:lpwstr>
      </vt:variant>
      <vt:variant>
        <vt:lpwstr/>
      </vt:variant>
      <vt:variant>
        <vt:i4>2883624</vt:i4>
      </vt:variant>
      <vt:variant>
        <vt:i4>24</vt:i4>
      </vt:variant>
      <vt:variant>
        <vt:i4>0</vt:i4>
      </vt:variant>
      <vt:variant>
        <vt:i4>5</vt:i4>
      </vt:variant>
      <vt:variant>
        <vt:lpwstr>http://www.coe.uh.edu/~ichen/ebook/ET-IT/constr.htm</vt:lpwstr>
      </vt:variant>
      <vt:variant>
        <vt:lpwstr/>
      </vt:variant>
      <vt:variant>
        <vt:i4>3473503</vt:i4>
      </vt:variant>
      <vt:variant>
        <vt:i4>21</vt:i4>
      </vt:variant>
      <vt:variant>
        <vt:i4>0</vt:i4>
      </vt:variant>
      <vt:variant>
        <vt:i4>5</vt:i4>
      </vt:variant>
      <vt:variant>
        <vt:lpwstr>http://carbon.cudenver.edu/~mryder/itc_data/constructivism.html</vt:lpwstr>
      </vt:variant>
      <vt:variant>
        <vt:lpwstr/>
      </vt:variant>
      <vt:variant>
        <vt:i4>2097207</vt:i4>
      </vt:variant>
      <vt:variant>
        <vt:i4>18</vt:i4>
      </vt:variant>
      <vt:variant>
        <vt:i4>0</vt:i4>
      </vt:variant>
      <vt:variant>
        <vt:i4>5</vt:i4>
      </vt:variant>
      <vt:variant>
        <vt:lpwstr>http://www.sedl.org/scimath/compass/v01n03/welcome.html</vt:lpwstr>
      </vt:variant>
      <vt:variant>
        <vt:lpwstr/>
      </vt:variant>
      <vt:variant>
        <vt:i4>7733355</vt:i4>
      </vt:variant>
      <vt:variant>
        <vt:i4>12</vt:i4>
      </vt:variant>
      <vt:variant>
        <vt:i4>0</vt:i4>
      </vt:variant>
      <vt:variant>
        <vt:i4>5</vt:i4>
      </vt:variant>
      <vt:variant>
        <vt:lpwstr>http://www.cca.org.mx/profesores/cursos/cep21-tec/modulo_1/salon de clase_constructivista.htm</vt:lpwstr>
      </vt:variant>
      <vt:variant>
        <vt:lpwstr/>
      </vt:variant>
      <vt:variant>
        <vt:i4>4194384</vt:i4>
      </vt:variant>
      <vt:variant>
        <vt:i4>9</vt:i4>
      </vt:variant>
      <vt:variant>
        <vt:i4>0</vt:i4>
      </vt:variant>
      <vt:variant>
        <vt:i4>5</vt:i4>
      </vt:variant>
      <vt:variant>
        <vt:lpwstr>http://www.cca.org.mx/profesores/cursos/cep21-tec/modulo_1/m1_liga1.htm</vt:lpwstr>
      </vt:variant>
      <vt:variant>
        <vt:lpwstr/>
      </vt:variant>
      <vt:variant>
        <vt:i4>3473503</vt:i4>
      </vt:variant>
      <vt:variant>
        <vt:i4>6</vt:i4>
      </vt:variant>
      <vt:variant>
        <vt:i4>0</vt:i4>
      </vt:variant>
      <vt:variant>
        <vt:i4>5</vt:i4>
      </vt:variant>
      <vt:variant>
        <vt:lpwstr>http://carbon.cudenver.edu/~mryder/itc_data/constructivism.html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Constructivismo</dc:title>
  <dc:subject/>
  <dc:creator>Atara</dc:creator>
  <cp:keywords/>
  <dc:description/>
  <cp:lastModifiedBy>Atara</cp:lastModifiedBy>
  <cp:revision>2</cp:revision>
  <dcterms:created xsi:type="dcterms:W3CDTF">2009-09-11T21:58:00Z</dcterms:created>
  <dcterms:modified xsi:type="dcterms:W3CDTF">2009-09-11T21:58:00Z</dcterms:modified>
</cp:coreProperties>
</file>