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99" w:rsidRPr="008900C9" w:rsidRDefault="00A11699" w:rsidP="00A11699">
      <w:pPr>
        <w:rPr>
          <w:b/>
          <w:sz w:val="28"/>
          <w:szCs w:val="28"/>
        </w:rPr>
      </w:pPr>
      <w:r w:rsidRPr="008900C9">
        <w:rPr>
          <w:b/>
        </w:rPr>
        <w:t xml:space="preserve">INALA LOCAL AREA DUE DILIGENCE REPORT </w:t>
      </w:r>
    </w:p>
    <w:p w:rsidR="00A11699" w:rsidRPr="008900C9" w:rsidRDefault="00A11699" w:rsidP="00A11699">
      <w:pPr>
        <w:jc w:val="center"/>
        <w:rPr>
          <w:b/>
          <w:sz w:val="28"/>
          <w:szCs w:val="28"/>
        </w:rPr>
      </w:pPr>
      <w:r w:rsidRPr="008900C9">
        <w:rPr>
          <w:b/>
          <w:sz w:val="28"/>
          <w:szCs w:val="28"/>
        </w:rPr>
        <w:t>EXECUTIVE SUMMARY</w:t>
      </w:r>
    </w:p>
    <w:p w:rsidR="00A11699" w:rsidRPr="008900C9" w:rsidRDefault="00A11699" w:rsidP="00A11699">
      <w:pPr>
        <w:rPr>
          <w:b/>
          <w:sz w:val="24"/>
          <w:szCs w:val="24"/>
        </w:rPr>
      </w:pPr>
      <w:r w:rsidRPr="008900C9">
        <w:rPr>
          <w:b/>
          <w:sz w:val="24"/>
          <w:szCs w:val="24"/>
        </w:rPr>
        <w:t xml:space="preserve">SITUATION </w:t>
      </w:r>
    </w:p>
    <w:p w:rsidR="00A11699" w:rsidRPr="001A2986" w:rsidRDefault="00A11699" w:rsidP="00A11699">
      <w:pPr>
        <w:pStyle w:val="NoSpacing"/>
      </w:pPr>
      <w:r w:rsidRPr="001A2986">
        <w:t>The South West area of the Brisbane north &amp; west region has 28.7 % of its young people 0-5 identified as developmentally vulnerable in one or more areas, compared to 23.5% throughout Queensland( AEDI) ; an average of 15% of school leavers transitioning to unemployment (Queensland Education Next Step data: QENSD ), and in excess of 10% of long term  unemployed youth,(OESR data). More than 90% of all wage earners in Inala fall into the lowest SEIFA index, compared to 17% across Queensland.</w:t>
      </w:r>
    </w:p>
    <w:p w:rsidR="00A11699" w:rsidRPr="001A2986" w:rsidRDefault="00A11699" w:rsidP="00A11699">
      <w:pPr>
        <w:pStyle w:val="Heading2"/>
        <w:rPr>
          <w:rFonts w:asciiTheme="minorHAnsi" w:hAnsiTheme="minorHAnsi"/>
          <w:sz w:val="22"/>
          <w:szCs w:val="22"/>
        </w:rPr>
      </w:pPr>
      <w:r w:rsidRPr="001A2986">
        <w:rPr>
          <w:rFonts w:asciiTheme="minorHAnsi" w:hAnsiTheme="minorHAnsi"/>
          <w:sz w:val="22"/>
          <w:szCs w:val="22"/>
        </w:rPr>
        <w:t xml:space="preserve">COMPLEXITY OF THE CONTEXT </w:t>
      </w:r>
    </w:p>
    <w:p w:rsidR="00A11699" w:rsidRPr="001A2986" w:rsidRDefault="00A11699" w:rsidP="00A11699">
      <w:pPr>
        <w:pStyle w:val="NoSpacing"/>
      </w:pPr>
      <w:r w:rsidRPr="001A2986">
        <w:t xml:space="preserve">The gap between COAG transition targets and current benchmark data for this area is significant, with only 22.6% of students from two of the areas three schools completing year 12 and enrolling at University, compared to the Queensland mean of 35.1% (QENSD). 25% of students at one school are unable to find work and are actively seeking work compared to the </w:t>
      </w:r>
      <w:proofErr w:type="spellStart"/>
      <w:r w:rsidRPr="001A2986">
        <w:t>Qld</w:t>
      </w:r>
      <w:proofErr w:type="spellEnd"/>
      <w:r w:rsidRPr="001A2986">
        <w:t xml:space="preserve"> mean of 8.1 %.</w:t>
      </w:r>
      <w:proofErr w:type="gramStart"/>
      <w:r w:rsidRPr="001A2986">
        <w:t>(QENSD</w:t>
      </w:r>
      <w:proofErr w:type="gramEnd"/>
      <w:r w:rsidRPr="001A2986">
        <w:t xml:space="preserve">). Migration into the area by non English speaking people is also considerably above the state mean, with 26% of these migrants having no spoken English and the incidence of one parent families is more than double that of the state mean. </w:t>
      </w:r>
      <w:proofErr w:type="gramStart"/>
      <w:r w:rsidRPr="001A2986">
        <w:t>(OESR).</w:t>
      </w:r>
      <w:proofErr w:type="gramEnd"/>
    </w:p>
    <w:p w:rsidR="00A11699" w:rsidRPr="001A2986" w:rsidRDefault="00A11699" w:rsidP="00A11699">
      <w:pPr>
        <w:pStyle w:val="NoSpacing"/>
      </w:pPr>
      <w:r w:rsidRPr="001A2986">
        <w:t xml:space="preserve">Education &amp; Training providers, Community groups, Parent </w:t>
      </w:r>
      <w:proofErr w:type="spellStart"/>
      <w:r w:rsidRPr="001A2986">
        <w:t>organisations</w:t>
      </w:r>
      <w:proofErr w:type="spellEnd"/>
      <w:r w:rsidRPr="001A2986">
        <w:t xml:space="preserve"> as well as Business &amp; Industry have all made a significant effort to improve studen</w:t>
      </w:r>
      <w:r>
        <w:t xml:space="preserve">t transitions, but despite this, </w:t>
      </w:r>
      <w:r w:rsidRPr="001A2986">
        <w:t>transition outcome measurements have continued on a similar trend line since 2006.</w:t>
      </w:r>
    </w:p>
    <w:p w:rsidR="00A11699" w:rsidRPr="001A2986" w:rsidRDefault="00A11699" w:rsidP="00A11699">
      <w:pPr>
        <w:pStyle w:val="NoSpacing"/>
      </w:pPr>
    </w:p>
    <w:p w:rsidR="00A11699" w:rsidRPr="001A2986" w:rsidRDefault="00A11699" w:rsidP="00A11699">
      <w:pPr>
        <w:pStyle w:val="NoSpacing"/>
      </w:pPr>
      <w:r w:rsidRPr="001A2986">
        <w:t xml:space="preserve">The potential risk/protective factors associated with low socio economic status impacting on youth transitions span the community, educational &amp; parental domains of influence, i.e. </w:t>
      </w:r>
    </w:p>
    <w:p w:rsidR="00A11699" w:rsidRPr="001A2986" w:rsidRDefault="00A11699" w:rsidP="00A11699">
      <w:pPr>
        <w:pStyle w:val="NoSpacing"/>
      </w:pPr>
      <w:r w:rsidRPr="001A2986">
        <w:t xml:space="preserve"> English language development; cognitive capital variance; emotional factors: physical health outcomes; cultural diversity; parental education; parental occupational status and the compounding effects of a disabling social climate.</w:t>
      </w:r>
    </w:p>
    <w:p w:rsidR="00A11699" w:rsidRPr="001A2986" w:rsidRDefault="00A11699" w:rsidP="00A11699">
      <w:pPr>
        <w:pStyle w:val="NoSpacing"/>
      </w:pPr>
      <w:r w:rsidRPr="001A2986">
        <w:t xml:space="preserve"> </w:t>
      </w:r>
    </w:p>
    <w:p w:rsidR="00A11699" w:rsidRPr="001A2986" w:rsidRDefault="00A11699" w:rsidP="00A11699">
      <w:pPr>
        <w:pStyle w:val="Heading2"/>
        <w:rPr>
          <w:rFonts w:asciiTheme="minorHAnsi" w:hAnsiTheme="minorHAnsi"/>
          <w:sz w:val="22"/>
          <w:szCs w:val="22"/>
        </w:rPr>
      </w:pPr>
      <w:r w:rsidRPr="001A2986">
        <w:rPr>
          <w:rFonts w:asciiTheme="minorHAnsi" w:hAnsiTheme="minorHAnsi"/>
          <w:sz w:val="22"/>
          <w:szCs w:val="22"/>
        </w:rPr>
        <w:t xml:space="preserve">OUR APPROACH </w:t>
      </w:r>
    </w:p>
    <w:p w:rsidR="00A11699" w:rsidRPr="001A2986" w:rsidRDefault="00A11699" w:rsidP="00A11699">
      <w:pPr>
        <w:pStyle w:val="NoSpacing"/>
      </w:pPr>
      <w:r w:rsidRPr="001A2986">
        <w:t xml:space="preserve">TSFPB role is to facilitate stakeholder engagement, build community capacity and improve education and transition outcomes for </w:t>
      </w:r>
      <w:r w:rsidRPr="001A2986">
        <w:rPr>
          <w:bCs/>
        </w:rPr>
        <w:t>all young people</w:t>
      </w:r>
      <w:r w:rsidRPr="001A2986">
        <w:t xml:space="preserve">. Our team intends to </w:t>
      </w:r>
    </w:p>
    <w:p w:rsidR="00A11699" w:rsidRPr="001A2986" w:rsidRDefault="00A11699" w:rsidP="00A11699">
      <w:pPr>
        <w:pStyle w:val="NoSpacing"/>
        <w:numPr>
          <w:ilvl w:val="0"/>
          <w:numId w:val="12"/>
        </w:numPr>
      </w:pPr>
      <w:r w:rsidRPr="001A2986">
        <w:t>Meet with TSF learning For Life program leaders  to appreciate “ what works “ for  the cohort of TSF scholarship holders, their parents and community support programs and partnerships in the local Inala community. .</w:t>
      </w:r>
    </w:p>
    <w:p w:rsidR="00A11699" w:rsidRPr="001A2986" w:rsidRDefault="00A11699" w:rsidP="00A11699">
      <w:pPr>
        <w:pStyle w:val="NoSpacing"/>
        <w:numPr>
          <w:ilvl w:val="0"/>
          <w:numId w:val="12"/>
        </w:numPr>
      </w:pPr>
      <w:r w:rsidRPr="001A2986">
        <w:t>Involve Brisbane Youth Service leaders from the Youth Connections Program in Inala Youth Services to complete a detailed asset map of existing community groups in the Inala area.</w:t>
      </w:r>
    </w:p>
    <w:p w:rsidR="00A11699" w:rsidRPr="001A2986" w:rsidRDefault="00A11699" w:rsidP="00A11699">
      <w:pPr>
        <w:pStyle w:val="NoSpacing"/>
        <w:numPr>
          <w:ilvl w:val="0"/>
          <w:numId w:val="12"/>
        </w:numPr>
      </w:pPr>
      <w:r w:rsidRPr="001A2986">
        <w:t>Identify potential partners who have the skill and the will to improve transition outcomes for low SES students in the Inala area.</w:t>
      </w:r>
      <w:r w:rsidRPr="001A2986">
        <w:rPr>
          <w:bCs/>
        </w:rPr>
        <w:t xml:space="preserve">  </w:t>
      </w:r>
    </w:p>
    <w:p w:rsidR="00A11699" w:rsidRPr="001A2986" w:rsidRDefault="00A11699" w:rsidP="00A11699">
      <w:pPr>
        <w:pStyle w:val="NoSpacing"/>
        <w:numPr>
          <w:ilvl w:val="0"/>
          <w:numId w:val="12"/>
        </w:numPr>
      </w:pPr>
      <w:r w:rsidRPr="001A2986">
        <w:t>Facilitate workshops to assist Inala stakeholders to design, implement and review partnerships that aim to bridge the gap between current transition benchmarks and COAG targets.</w:t>
      </w:r>
    </w:p>
    <w:p w:rsidR="00A11699" w:rsidRDefault="00A11699" w:rsidP="00A11699"/>
    <w:p w:rsidR="00A11699" w:rsidRDefault="00A11699" w:rsidP="00E3243D">
      <w:pPr>
        <w:jc w:val="center"/>
        <w:rPr>
          <w:b/>
          <w:sz w:val="28"/>
          <w:szCs w:val="28"/>
        </w:rPr>
      </w:pPr>
    </w:p>
    <w:p w:rsidR="004C325B" w:rsidRPr="00E3243D" w:rsidRDefault="004C325B" w:rsidP="00E3243D">
      <w:pPr>
        <w:jc w:val="center"/>
        <w:rPr>
          <w:b/>
          <w:sz w:val="28"/>
          <w:szCs w:val="28"/>
        </w:rPr>
      </w:pPr>
      <w:r w:rsidRPr="00E3243D">
        <w:rPr>
          <w:b/>
          <w:sz w:val="28"/>
          <w:szCs w:val="28"/>
        </w:rPr>
        <w:lastRenderedPageBreak/>
        <w:t>DUE DILIGENCE REPORT</w:t>
      </w:r>
    </w:p>
    <w:p w:rsidR="00BA4B58" w:rsidRDefault="00F5467F" w:rsidP="00E3243D">
      <w:pPr>
        <w:pStyle w:val="Heading3"/>
      </w:pPr>
      <w:r w:rsidRPr="00F5467F">
        <w:rPr>
          <w:rFonts w:ascii="Arial" w:hAnsi="Arial" w:cs="Arial"/>
          <w:sz w:val="24"/>
          <w:szCs w:val="24"/>
        </w:rPr>
        <w:t>APPENDIX A</w:t>
      </w:r>
      <w:r w:rsidR="00E3243D">
        <w:rPr>
          <w:rFonts w:ascii="Arial" w:hAnsi="Arial" w:cs="Arial"/>
          <w:sz w:val="24"/>
          <w:szCs w:val="24"/>
        </w:rPr>
        <w:t xml:space="preserve">                            </w:t>
      </w:r>
      <w:proofErr w:type="gramStart"/>
      <w:r w:rsidR="008C03B1">
        <w:t xml:space="preserve">DEMOGRAPHIC </w:t>
      </w:r>
      <w:r w:rsidR="00EB797B">
        <w:t xml:space="preserve"> PROFILE</w:t>
      </w:r>
      <w:proofErr w:type="gramEnd"/>
      <w:r w:rsidR="00EB797B">
        <w:t xml:space="preserve"> </w:t>
      </w:r>
    </w:p>
    <w:p w:rsidR="00DA0723" w:rsidRPr="00B50DAC" w:rsidRDefault="00DA0723" w:rsidP="00DA0723">
      <w:pPr>
        <w:pStyle w:val="NoSpacing"/>
        <w:rPr>
          <w:rFonts w:ascii="Arial" w:hAnsi="Arial" w:cs="Arial"/>
          <w:i/>
          <w:sz w:val="24"/>
          <w:szCs w:val="24"/>
        </w:rPr>
      </w:pPr>
      <w:r w:rsidRPr="008F2741">
        <w:rPr>
          <w:rStyle w:val="Heading3Char"/>
        </w:rPr>
        <w:t>FACTS</w:t>
      </w:r>
      <w:r>
        <w:rPr>
          <w:rFonts w:ascii="Arial" w:hAnsi="Arial" w:cs="Arial"/>
          <w:i/>
          <w:sz w:val="24"/>
          <w:szCs w:val="24"/>
        </w:rPr>
        <w:tab/>
      </w:r>
      <w:r>
        <w:rPr>
          <w:rFonts w:ascii="Arial" w:hAnsi="Arial" w:cs="Arial"/>
          <w:i/>
          <w:sz w:val="24"/>
          <w:szCs w:val="24"/>
        </w:rPr>
        <w:tab/>
      </w:r>
    </w:p>
    <w:p w:rsidR="00DA0723" w:rsidRPr="00B50DAC" w:rsidRDefault="00DA0723" w:rsidP="00DA0723">
      <w:pPr>
        <w:pStyle w:val="NoSpacing"/>
        <w:rPr>
          <w:rFonts w:ascii="Arial" w:hAnsi="Arial" w:cs="Arial"/>
          <w:i/>
          <w:sz w:val="24"/>
          <w:szCs w:val="24"/>
        </w:rPr>
      </w:pPr>
    </w:p>
    <w:p w:rsidR="00E370C6" w:rsidRDefault="00F30C3F" w:rsidP="00DA0723">
      <w:pPr>
        <w:rPr>
          <w:rFonts w:ascii="Arial" w:hAnsi="Arial" w:cs="Arial"/>
          <w:sz w:val="24"/>
          <w:szCs w:val="24"/>
        </w:rPr>
      </w:pPr>
      <w:r>
        <w:rPr>
          <w:rFonts w:ascii="Arial" w:hAnsi="Arial" w:cs="Arial"/>
          <w:sz w:val="24"/>
          <w:szCs w:val="24"/>
        </w:rPr>
        <w:t xml:space="preserve">School </w:t>
      </w:r>
      <w:proofErr w:type="gramStart"/>
      <w:r>
        <w:rPr>
          <w:rFonts w:ascii="Arial" w:hAnsi="Arial" w:cs="Arial"/>
          <w:sz w:val="24"/>
          <w:szCs w:val="24"/>
        </w:rPr>
        <w:t>leavers</w:t>
      </w:r>
      <w:proofErr w:type="gramEnd"/>
      <w:r>
        <w:rPr>
          <w:rFonts w:ascii="Arial" w:hAnsi="Arial" w:cs="Arial"/>
          <w:sz w:val="24"/>
          <w:szCs w:val="24"/>
        </w:rPr>
        <w:t xml:space="preserve"> destination data</w:t>
      </w:r>
      <w:r w:rsidRPr="00F30C3F">
        <w:rPr>
          <w:rFonts w:ascii="Arial" w:eastAsia="Times New Roman" w:hAnsi="Arial" w:cs="Arial"/>
          <w:color w:val="548DD4" w:themeColor="text2" w:themeTint="99"/>
          <w:sz w:val="24"/>
          <w:szCs w:val="24"/>
          <w:u w:val="single"/>
          <w:lang w:val="en-AU"/>
        </w:rPr>
        <w:t xml:space="preserve"> </w:t>
      </w:r>
      <w:r w:rsidRPr="00910305">
        <w:rPr>
          <w:rFonts w:ascii="Arial" w:eastAsia="Times New Roman" w:hAnsi="Arial" w:cs="Arial"/>
          <w:color w:val="548DD4" w:themeColor="text2" w:themeTint="99"/>
          <w:sz w:val="24"/>
          <w:szCs w:val="24"/>
          <w:u w:val="single"/>
          <w:lang w:val="en-AU"/>
        </w:rPr>
        <w:t>www</w:t>
      </w:r>
      <w:r w:rsidRPr="00910305">
        <w:rPr>
          <w:rFonts w:ascii="Arial" w:eastAsia="Times New Roman" w:hAnsi="Arial" w:cs="Arial"/>
          <w:sz w:val="24"/>
          <w:szCs w:val="24"/>
          <w:u w:val="single"/>
          <w:lang w:val="en-AU"/>
        </w:rPr>
        <w:t>.</w:t>
      </w:r>
      <w:r w:rsidRPr="00910305">
        <w:rPr>
          <w:rStyle w:val="HTMLCite"/>
          <w:rFonts w:ascii="Arial" w:hAnsi="Arial" w:cs="Arial"/>
          <w:color w:val="548DD4" w:themeColor="text2" w:themeTint="99"/>
          <w:u w:val="single"/>
        </w:rPr>
        <w:t>education.qld.gov.au/</w:t>
      </w:r>
      <w:proofErr w:type="spellStart"/>
      <w:r w:rsidRPr="00910305">
        <w:rPr>
          <w:rStyle w:val="HTMLCite"/>
          <w:rFonts w:ascii="Arial" w:hAnsi="Arial" w:cs="Arial"/>
          <w:bCs/>
          <w:color w:val="548DD4" w:themeColor="text2" w:themeTint="99"/>
          <w:u w:val="single"/>
        </w:rPr>
        <w:t>nextstep</w:t>
      </w:r>
      <w:proofErr w:type="spellEnd"/>
      <w:r w:rsidRPr="00910305">
        <w:rPr>
          <w:rStyle w:val="HTMLCite"/>
          <w:rFonts w:ascii="Arial" w:hAnsi="Arial" w:cs="Arial"/>
          <w:color w:val="548DD4" w:themeColor="text2" w:themeTint="99"/>
          <w:u w:val="single"/>
        </w:rPr>
        <w:t>/)</w:t>
      </w:r>
      <w:r>
        <w:rPr>
          <w:rFonts w:ascii="Arial" w:hAnsi="Arial" w:cs="Arial"/>
          <w:sz w:val="24"/>
          <w:szCs w:val="24"/>
        </w:rPr>
        <w:t xml:space="preserve"> </w:t>
      </w:r>
    </w:p>
    <w:p w:rsidR="00F30C3F" w:rsidRPr="00F30C3F" w:rsidRDefault="00E370C6" w:rsidP="00DA0723">
      <w:pPr>
        <w:rPr>
          <w:rFonts w:ascii="Arial" w:hAnsi="Arial" w:cs="Arial"/>
          <w:sz w:val="24"/>
          <w:szCs w:val="24"/>
        </w:rPr>
      </w:pPr>
      <w:r w:rsidRPr="00E370C6">
        <w:rPr>
          <w:rFonts w:ascii="Arial" w:hAnsi="Arial" w:cs="Arial"/>
          <w:noProof/>
          <w:sz w:val="24"/>
          <w:szCs w:val="24"/>
          <w:lang w:val="en-AU" w:eastAsia="en-AU"/>
        </w:rPr>
        <w:drawing>
          <wp:inline distT="0" distB="0" distL="0" distR="0">
            <wp:extent cx="5943600" cy="2499995"/>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25410" w:type="dxa"/>
        <w:tblInd w:w="108" w:type="dxa"/>
        <w:tblLook w:val="04A0"/>
      </w:tblPr>
      <w:tblGrid>
        <w:gridCol w:w="1600"/>
        <w:gridCol w:w="180"/>
        <w:gridCol w:w="960"/>
        <w:gridCol w:w="460"/>
        <w:gridCol w:w="1140"/>
        <w:gridCol w:w="760"/>
        <w:gridCol w:w="840"/>
        <w:gridCol w:w="1900"/>
        <w:gridCol w:w="2660"/>
        <w:gridCol w:w="4410"/>
        <w:gridCol w:w="1780"/>
        <w:gridCol w:w="960"/>
        <w:gridCol w:w="1600"/>
        <w:gridCol w:w="1600"/>
        <w:gridCol w:w="1900"/>
        <w:gridCol w:w="2660"/>
      </w:tblGrid>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E370C6" w:rsidRPr="00BA4B58" w:rsidRDefault="00E370C6"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E370C6" w:rsidRDefault="00E370C6" w:rsidP="00E370C6">
            <w:pPr>
              <w:pStyle w:val="NoSpacing"/>
              <w:rPr>
                <w:rStyle w:val="Heading3Char"/>
                <w:color w:val="548DD4" w:themeColor="text2" w:themeTint="99"/>
                <w:u w:val="single"/>
              </w:rPr>
            </w:pPr>
            <w:r>
              <w:rPr>
                <w:rStyle w:val="Heading3Char"/>
              </w:rPr>
              <w:t xml:space="preserve">OESR data. </w:t>
            </w:r>
            <w:r w:rsidRPr="00F30C3F">
              <w:rPr>
                <w:rStyle w:val="Heading3Char"/>
                <w:color w:val="548DD4" w:themeColor="text2" w:themeTint="99"/>
                <w:u w:val="single"/>
              </w:rPr>
              <w:t>(</w:t>
            </w:r>
            <w:hyperlink r:id="rId9" w:history="1">
              <w:r w:rsidR="00E3243D" w:rsidRPr="005A27EE">
                <w:rPr>
                  <w:rStyle w:val="Hyperlink"/>
                  <w:rFonts w:asciiTheme="majorHAnsi" w:eastAsiaTheme="majorEastAsia" w:hAnsiTheme="majorHAnsi" w:cstheme="majorBidi"/>
                </w:rPr>
                <w:t>www.oesr.qld.gov.au</w:t>
              </w:r>
            </w:hyperlink>
            <w:r w:rsidRPr="00F30C3F">
              <w:rPr>
                <w:rStyle w:val="Heading3Char"/>
                <w:color w:val="548DD4" w:themeColor="text2" w:themeTint="99"/>
                <w:u w:val="single"/>
              </w:rPr>
              <w:t>)</w:t>
            </w:r>
          </w:p>
          <w:p w:rsidR="00E3243D" w:rsidRDefault="00E3243D" w:rsidP="00E370C6">
            <w:pPr>
              <w:pStyle w:val="NoSpacing"/>
              <w:rPr>
                <w:rStyle w:val="Heading3Char"/>
              </w:rPr>
            </w:pPr>
          </w:p>
          <w:p w:rsidR="00BA4B58" w:rsidRPr="00BA4B58" w:rsidRDefault="00E3243D" w:rsidP="00BA4B58">
            <w:pPr>
              <w:spacing w:after="0" w:line="240" w:lineRule="auto"/>
              <w:rPr>
                <w:rFonts w:ascii="Calibri" w:eastAsia="Times New Roman" w:hAnsi="Calibri" w:cs="Times New Roman"/>
                <w:color w:val="000000"/>
              </w:rPr>
            </w:pPr>
            <w:r w:rsidRPr="00E811D9">
              <w:rPr>
                <w:rStyle w:val="Heading3Char"/>
                <w:noProof/>
                <w:lang w:val="en-AU" w:eastAsia="en-AU"/>
              </w:rPr>
              <w:drawing>
                <wp:inline distT="0" distB="0" distL="0" distR="0">
                  <wp:extent cx="5981700" cy="3667125"/>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3200" w:type="dxa"/>
            <w:gridSpan w:val="2"/>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b/>
                <w:bCs/>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E370C6" w:rsidRPr="00502DBD" w:rsidRDefault="00E370C6" w:rsidP="00E370C6">
            <w:pPr>
              <w:spacing w:after="0" w:line="240" w:lineRule="auto"/>
              <w:rPr>
                <w:rStyle w:val="HTMLCite"/>
                <w:rFonts w:cs="Arial"/>
                <w:color w:val="548DD4" w:themeColor="text2" w:themeTint="99"/>
              </w:rPr>
            </w:pPr>
            <w:r w:rsidRPr="00502DBD">
              <w:rPr>
                <w:rFonts w:eastAsia="Times New Roman" w:cs="Times New Roman"/>
                <w:b/>
                <w:bCs/>
                <w:color w:val="000000"/>
              </w:rPr>
              <w:t xml:space="preserve">Brisbane City Council data-Inala &amp; Durack </w:t>
            </w:r>
            <w:r w:rsidRPr="00502DBD">
              <w:rPr>
                <w:rFonts w:eastAsia="Times New Roman" w:cs="Times New Roman"/>
                <w:b/>
                <w:bCs/>
                <w:color w:val="548DD4" w:themeColor="text2" w:themeTint="99"/>
              </w:rPr>
              <w:t>(</w:t>
            </w:r>
            <w:hyperlink r:id="rId11" w:history="1">
              <w:r w:rsidRPr="00502DBD">
                <w:rPr>
                  <w:rStyle w:val="Hyperlink"/>
                  <w:rFonts w:cs="Arial"/>
                </w:rPr>
                <w:t>www.</w:t>
              </w:r>
              <w:r w:rsidRPr="00502DBD">
                <w:rPr>
                  <w:rStyle w:val="Hyperlink"/>
                  <w:rFonts w:cs="Arial"/>
                  <w:b/>
                  <w:bCs/>
                </w:rPr>
                <w:t>brisbane</w:t>
              </w:r>
              <w:r w:rsidRPr="00502DBD">
                <w:rPr>
                  <w:rStyle w:val="Hyperlink"/>
                  <w:rFonts w:cs="Arial"/>
                </w:rPr>
                <w:t>.qld.gov.au</w:t>
              </w:r>
            </w:hyperlink>
            <w:r w:rsidRPr="00502DBD">
              <w:rPr>
                <w:rStyle w:val="HTMLCite"/>
                <w:rFonts w:cs="Arial"/>
                <w:color w:val="548DD4" w:themeColor="text2" w:themeTint="99"/>
              </w:rPr>
              <w:t xml:space="preserve">)  </w:t>
            </w:r>
          </w:p>
          <w:p w:rsidR="00BA4B58" w:rsidRPr="00E3243D" w:rsidRDefault="00E370C6" w:rsidP="00E370C6">
            <w:pPr>
              <w:spacing w:after="0" w:line="240" w:lineRule="auto"/>
              <w:rPr>
                <w:rFonts w:ascii="Calibri" w:eastAsia="Times New Roman" w:hAnsi="Calibri" w:cs="Times New Roman"/>
                <w:b/>
                <w:color w:val="000000"/>
              </w:rPr>
            </w:pPr>
            <w:r w:rsidRPr="00502DBD">
              <w:rPr>
                <w:rStyle w:val="HTMLCite"/>
                <w:rFonts w:cs="Arial"/>
                <w:b/>
                <w:color w:val="auto"/>
              </w:rPr>
              <w:t>Language used</w:t>
            </w: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E370C6" w:rsidP="00BA4B58">
            <w:pPr>
              <w:spacing w:after="0" w:line="240" w:lineRule="auto"/>
              <w:rPr>
                <w:rFonts w:ascii="Calibri" w:eastAsia="Times New Roman" w:hAnsi="Calibri" w:cs="Times New Roman"/>
                <w:color w:val="000000"/>
              </w:rPr>
            </w:pPr>
            <w:r>
              <w:rPr>
                <w:rFonts w:ascii="Calibri" w:eastAsia="Times New Roman" w:hAnsi="Calibri" w:cs="Times New Roman"/>
                <w:noProof/>
                <w:color w:val="000000"/>
                <w:lang w:val="en-AU" w:eastAsia="en-AU"/>
              </w:rPr>
              <w:drawing>
                <wp:anchor distT="0" distB="0" distL="114300" distR="114300" simplePos="0" relativeHeight="251703296" behindDoc="0" locked="0" layoutInCell="1" allowOverlap="1">
                  <wp:simplePos x="0" y="0"/>
                  <wp:positionH relativeFrom="column">
                    <wp:posOffset>-135255</wp:posOffset>
                  </wp:positionH>
                  <wp:positionV relativeFrom="paragraph">
                    <wp:posOffset>14605</wp:posOffset>
                  </wp:positionV>
                  <wp:extent cx="5000625" cy="2352675"/>
                  <wp:effectExtent l="19050" t="0" r="9525" b="0"/>
                  <wp:wrapNone/>
                  <wp:docPr id="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jc w:val="center"/>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BA4B58" w:rsidRPr="00BA4B58">
              <w:trPr>
                <w:trHeight w:val="300"/>
                <w:tblCellSpacing w:w="0" w:type="dxa"/>
              </w:trPr>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bl>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E370C6" w:rsidRDefault="00E370C6" w:rsidP="00E370C6">
            <w:pPr>
              <w:pStyle w:val="NoSpacing"/>
              <w:rPr>
                <w:rStyle w:val="Heading3Char"/>
              </w:rPr>
            </w:pPr>
          </w:p>
          <w:tbl>
            <w:tblPr>
              <w:tblW w:w="14586" w:type="dxa"/>
              <w:tblInd w:w="108" w:type="dxa"/>
              <w:tblLook w:val="04A0"/>
            </w:tblPr>
            <w:tblGrid>
              <w:gridCol w:w="4626"/>
              <w:gridCol w:w="1176"/>
              <w:gridCol w:w="976"/>
              <w:gridCol w:w="976"/>
              <w:gridCol w:w="976"/>
              <w:gridCol w:w="976"/>
              <w:gridCol w:w="976"/>
              <w:gridCol w:w="976"/>
              <w:gridCol w:w="976"/>
              <w:gridCol w:w="976"/>
              <w:gridCol w:w="976"/>
            </w:tblGrid>
            <w:tr w:rsidR="00E370C6" w:rsidRPr="006A336A" w:rsidTr="00B1508E">
              <w:trPr>
                <w:trHeight w:val="300"/>
              </w:trPr>
              <w:tc>
                <w:tcPr>
                  <w:tcW w:w="4626" w:type="dxa"/>
                  <w:tcBorders>
                    <w:top w:val="nil"/>
                    <w:left w:val="nil"/>
                    <w:bottom w:val="nil"/>
                    <w:right w:val="nil"/>
                  </w:tcBorders>
                  <w:shd w:val="clear" w:color="auto" w:fill="auto"/>
                  <w:noWrap/>
                  <w:vAlign w:val="bottom"/>
                  <w:hideMark/>
                </w:tcPr>
                <w:p w:rsidR="00E370C6" w:rsidRPr="00F30C3F" w:rsidRDefault="00E370C6" w:rsidP="00B1508E">
                  <w:pPr>
                    <w:spacing w:after="0" w:line="240" w:lineRule="auto"/>
                    <w:jc w:val="center"/>
                    <w:rPr>
                      <w:rFonts w:ascii="Calibri" w:eastAsia="Times New Roman" w:hAnsi="Calibri" w:cs="Times New Roman"/>
                      <w:b/>
                      <w:bCs/>
                    </w:rPr>
                  </w:pPr>
                  <w:r>
                    <w:rPr>
                      <w:rStyle w:val="HTMLCite"/>
                      <w:rFonts w:ascii="Arial" w:hAnsi="Arial" w:cs="Arial"/>
                      <w:color w:val="auto"/>
                      <w:u w:val="single"/>
                    </w:rPr>
                    <w:t xml:space="preserve"> </w:t>
                  </w:r>
                </w:p>
              </w:tc>
              <w:tc>
                <w:tcPr>
                  <w:tcW w:w="11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E370C6" w:rsidRPr="006A336A" w:rsidTr="00B1508E">
                    <w:trPr>
                      <w:trHeight w:val="300"/>
                      <w:tblCellSpacing w:w="0" w:type="dxa"/>
                    </w:trPr>
                    <w:tc>
                      <w:tcPr>
                        <w:tcW w:w="960"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r>
                </w:tbl>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E370C6" w:rsidRPr="006A336A" w:rsidRDefault="00E370C6" w:rsidP="00B1508E">
                  <w:pPr>
                    <w:spacing w:after="0" w:line="240" w:lineRule="auto"/>
                    <w:rPr>
                      <w:rFonts w:ascii="Calibri" w:eastAsia="Times New Roman" w:hAnsi="Calibri" w:cs="Times New Roman"/>
                      <w:color w:val="000000"/>
                    </w:rPr>
                  </w:pPr>
                </w:p>
              </w:tc>
            </w:tr>
          </w:tbl>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70C6">
        <w:trPr>
          <w:trHeight w:val="30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BA4B58" w:rsidRPr="00BA4B58" w:rsidTr="00E3243D">
        <w:trPr>
          <w:trHeight w:val="80"/>
        </w:trPr>
        <w:tc>
          <w:tcPr>
            <w:tcW w:w="14910" w:type="dxa"/>
            <w:gridSpan w:val="10"/>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BA4B58" w:rsidRPr="00BA4B58" w:rsidRDefault="00BA4B58" w:rsidP="00BA4B58">
            <w:pPr>
              <w:spacing w:after="0" w:line="240" w:lineRule="auto"/>
              <w:rPr>
                <w:rFonts w:ascii="Calibri" w:eastAsia="Times New Roman" w:hAnsi="Calibri" w:cs="Times New Roman"/>
                <w:color w:val="000000"/>
              </w:rPr>
            </w:pPr>
          </w:p>
        </w:tc>
      </w:tr>
      <w:tr w:rsidR="00E3243D" w:rsidRPr="00BA4B58" w:rsidTr="00E3243D">
        <w:trPr>
          <w:gridAfter w:val="7"/>
          <w:wAfter w:w="14910" w:type="dxa"/>
          <w:trHeight w:val="80"/>
        </w:trPr>
        <w:tc>
          <w:tcPr>
            <w:tcW w:w="1780" w:type="dxa"/>
            <w:gridSpan w:val="2"/>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1600" w:type="dxa"/>
            <w:gridSpan w:val="2"/>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1600" w:type="dxa"/>
            <w:gridSpan w:val="2"/>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2660" w:type="dxa"/>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r>
      <w:tr w:rsidR="00E3243D" w:rsidRPr="00BA4B58" w:rsidTr="00E370C6">
        <w:trPr>
          <w:gridAfter w:val="10"/>
          <w:wAfter w:w="20310" w:type="dxa"/>
          <w:trHeight w:val="300"/>
        </w:trPr>
        <w:tc>
          <w:tcPr>
            <w:tcW w:w="1600" w:type="dxa"/>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c>
          <w:tcPr>
            <w:tcW w:w="1900" w:type="dxa"/>
            <w:gridSpan w:val="2"/>
            <w:tcBorders>
              <w:top w:val="nil"/>
              <w:left w:val="nil"/>
              <w:bottom w:val="nil"/>
              <w:right w:val="nil"/>
            </w:tcBorders>
            <w:shd w:val="clear" w:color="auto" w:fill="auto"/>
            <w:noWrap/>
            <w:vAlign w:val="bottom"/>
            <w:hideMark/>
          </w:tcPr>
          <w:p w:rsidR="00E3243D" w:rsidRPr="00BA4B58" w:rsidRDefault="00E3243D" w:rsidP="00BA4B58">
            <w:pPr>
              <w:spacing w:after="0" w:line="240" w:lineRule="auto"/>
              <w:rPr>
                <w:rFonts w:ascii="Calibri" w:eastAsia="Times New Roman" w:hAnsi="Calibri" w:cs="Times New Roman"/>
                <w:color w:val="000000"/>
              </w:rPr>
            </w:pPr>
          </w:p>
        </w:tc>
      </w:tr>
    </w:tbl>
    <w:p w:rsidR="00502DBD" w:rsidRDefault="00502DBD" w:rsidP="00EB797B">
      <w:pPr>
        <w:pStyle w:val="Heading4"/>
        <w:rPr>
          <w:i w:val="0"/>
          <w:color w:val="auto"/>
        </w:rPr>
      </w:pPr>
    </w:p>
    <w:p w:rsidR="00502DBD" w:rsidRDefault="00502DBD" w:rsidP="00EB797B">
      <w:pPr>
        <w:pStyle w:val="Heading4"/>
        <w:rPr>
          <w:i w:val="0"/>
          <w:color w:val="auto"/>
        </w:rPr>
      </w:pPr>
    </w:p>
    <w:p w:rsidR="008C03B1" w:rsidRPr="00502DBD" w:rsidRDefault="00E3243D" w:rsidP="00EB797B">
      <w:pPr>
        <w:pStyle w:val="Heading4"/>
        <w:rPr>
          <w:rFonts w:asciiTheme="minorHAnsi" w:hAnsiTheme="minorHAnsi"/>
          <w:color w:val="auto"/>
        </w:rPr>
      </w:pPr>
      <w:r w:rsidRPr="00502DBD">
        <w:rPr>
          <w:rFonts w:asciiTheme="minorHAnsi" w:hAnsiTheme="minorHAnsi"/>
          <w:i w:val="0"/>
          <w:color w:val="auto"/>
        </w:rPr>
        <w:t>Housing</w:t>
      </w:r>
      <w:r w:rsidR="00EB797B" w:rsidRPr="00502DBD">
        <w:rPr>
          <w:rFonts w:asciiTheme="minorHAnsi" w:hAnsiTheme="minorHAnsi"/>
          <w:color w:val="auto"/>
        </w:rPr>
        <w:tab/>
      </w:r>
      <w:r w:rsidR="00EB797B" w:rsidRPr="00502DBD">
        <w:rPr>
          <w:rFonts w:asciiTheme="minorHAnsi" w:hAnsiTheme="minorHAnsi"/>
          <w:color w:val="auto"/>
        </w:rPr>
        <w:tab/>
        <w:t xml:space="preserve"> </w:t>
      </w:r>
    </w:p>
    <w:p w:rsidR="00647AD0" w:rsidRDefault="00E370C6" w:rsidP="00F5467F">
      <w:pPr>
        <w:pStyle w:val="NoSpacing"/>
        <w:rPr>
          <w:rFonts w:ascii="Arial" w:hAnsi="Arial" w:cs="Arial"/>
          <w:i/>
          <w:sz w:val="24"/>
          <w:szCs w:val="24"/>
        </w:rPr>
      </w:pPr>
      <w:r>
        <w:rPr>
          <w:rFonts w:ascii="Arial" w:hAnsi="Arial" w:cs="Arial"/>
          <w:i/>
          <w:noProof/>
          <w:sz w:val="24"/>
          <w:szCs w:val="24"/>
          <w:lang w:val="en-AU" w:eastAsia="en-AU"/>
        </w:rPr>
        <w:drawing>
          <wp:anchor distT="0" distB="0" distL="114300" distR="114300" simplePos="0" relativeHeight="251705344" behindDoc="0" locked="0" layoutInCell="1" allowOverlap="1">
            <wp:simplePos x="0" y="0"/>
            <wp:positionH relativeFrom="column">
              <wp:posOffset>-19050</wp:posOffset>
            </wp:positionH>
            <wp:positionV relativeFrom="paragraph">
              <wp:posOffset>33020</wp:posOffset>
            </wp:positionV>
            <wp:extent cx="5029200" cy="1419225"/>
            <wp:effectExtent l="19050" t="0" r="19050" b="0"/>
            <wp:wrapNone/>
            <wp:docPr id="5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26807" w:type="dxa"/>
        <w:tblInd w:w="-1440" w:type="dxa"/>
        <w:tblLook w:val="04A0"/>
      </w:tblPr>
      <w:tblGrid>
        <w:gridCol w:w="14802"/>
        <w:gridCol w:w="664"/>
        <w:gridCol w:w="1381"/>
        <w:gridCol w:w="1176"/>
        <w:gridCol w:w="976"/>
        <w:gridCol w:w="976"/>
        <w:gridCol w:w="976"/>
        <w:gridCol w:w="976"/>
        <w:gridCol w:w="976"/>
        <w:gridCol w:w="976"/>
        <w:gridCol w:w="976"/>
        <w:gridCol w:w="976"/>
        <w:gridCol w:w="976"/>
      </w:tblGrid>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b/>
                <w:color w:val="000000"/>
                <w:u w:val="single"/>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b/>
                <w:bCs/>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b/>
                <w:bCs/>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b/>
                <w:bCs/>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b/>
                <w:bCs/>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b/>
                <w:bCs/>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b/>
                <w:bCs/>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b/>
                <w:bCs/>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r w:rsidR="006A336A" w:rsidRPr="006A336A" w:rsidTr="00CF414F">
        <w:trPr>
          <w:trHeight w:val="300"/>
        </w:trPr>
        <w:tc>
          <w:tcPr>
            <w:tcW w:w="14802" w:type="dxa"/>
            <w:tcBorders>
              <w:top w:val="nil"/>
              <w:left w:val="nil"/>
              <w:bottom w:val="nil"/>
              <w:right w:val="nil"/>
            </w:tcBorders>
            <w:shd w:val="clear" w:color="auto" w:fill="auto"/>
            <w:noWrap/>
            <w:vAlign w:val="bottom"/>
            <w:hideMark/>
          </w:tcPr>
          <w:tbl>
            <w:tblPr>
              <w:tblW w:w="14586" w:type="dxa"/>
              <w:tblLook w:val="04A0"/>
            </w:tblPr>
            <w:tblGrid>
              <w:gridCol w:w="2581"/>
              <w:gridCol w:w="243"/>
              <w:gridCol w:w="421"/>
              <w:gridCol w:w="1381"/>
              <w:gridCol w:w="1176"/>
              <w:gridCol w:w="976"/>
              <w:gridCol w:w="976"/>
              <w:gridCol w:w="976"/>
              <w:gridCol w:w="976"/>
              <w:gridCol w:w="976"/>
              <w:gridCol w:w="976"/>
              <w:gridCol w:w="976"/>
              <w:gridCol w:w="976"/>
              <w:gridCol w:w="976"/>
            </w:tblGrid>
            <w:tr w:rsidR="00502DBD" w:rsidRPr="006A336A" w:rsidTr="00CC5660">
              <w:trPr>
                <w:trHeight w:val="300"/>
              </w:trPr>
              <w:tc>
                <w:tcPr>
                  <w:tcW w:w="2581" w:type="dxa"/>
                  <w:tcBorders>
                    <w:top w:val="nil"/>
                    <w:left w:val="nil"/>
                    <w:bottom w:val="nil"/>
                    <w:right w:val="nil"/>
                  </w:tcBorders>
                  <w:shd w:val="clear" w:color="auto" w:fill="auto"/>
                  <w:noWrap/>
                  <w:vAlign w:val="bottom"/>
                  <w:hideMark/>
                </w:tcPr>
                <w:p w:rsidR="00502DBD" w:rsidRDefault="00502DBD" w:rsidP="00215E4C">
                  <w:pPr>
                    <w:spacing w:after="0" w:line="240" w:lineRule="auto"/>
                    <w:ind w:left="-1634" w:firstLine="1634"/>
                    <w:rPr>
                      <w:rFonts w:ascii="Calibri" w:eastAsia="Times New Roman" w:hAnsi="Calibri" w:cs="Times New Roman"/>
                      <w:b/>
                      <w:color w:val="000000"/>
                    </w:rPr>
                  </w:pPr>
                </w:p>
                <w:p w:rsidR="00502DBD" w:rsidRDefault="00502DBD" w:rsidP="00215E4C">
                  <w:pPr>
                    <w:spacing w:after="0" w:line="240" w:lineRule="auto"/>
                    <w:ind w:left="-1634" w:firstLine="1634"/>
                    <w:rPr>
                      <w:rFonts w:ascii="Calibri" w:eastAsia="Times New Roman" w:hAnsi="Calibri" w:cs="Times New Roman"/>
                      <w:b/>
                      <w:color w:val="000000"/>
                    </w:rPr>
                  </w:pPr>
                </w:p>
                <w:p w:rsidR="00502DBD" w:rsidRPr="00E3243D" w:rsidRDefault="00502DBD" w:rsidP="00215E4C">
                  <w:pPr>
                    <w:spacing w:after="0" w:line="240" w:lineRule="auto"/>
                    <w:ind w:left="-1634" w:firstLine="1634"/>
                    <w:rPr>
                      <w:rFonts w:ascii="Calibri" w:eastAsia="Times New Roman" w:hAnsi="Calibri" w:cs="Times New Roman"/>
                      <w:b/>
                      <w:color w:val="000000"/>
                    </w:rPr>
                  </w:pPr>
                  <w:r>
                    <w:rPr>
                      <w:rFonts w:ascii="Calibri" w:eastAsia="Times New Roman" w:hAnsi="Calibri" w:cs="Times New Roman"/>
                      <w:b/>
                      <w:color w:val="000000"/>
                    </w:rPr>
                    <w:t xml:space="preserve">                        </w:t>
                  </w:r>
                  <w:r w:rsidRPr="00E3243D">
                    <w:rPr>
                      <w:rFonts w:ascii="Calibri" w:eastAsia="Times New Roman" w:hAnsi="Calibri" w:cs="Times New Roman"/>
                      <w:b/>
                      <w:color w:val="000000"/>
                    </w:rPr>
                    <w:t>Employment</w:t>
                  </w:r>
                </w:p>
                <w:p w:rsidR="00502DBD" w:rsidRPr="006A336A" w:rsidRDefault="00502DBD" w:rsidP="00215E4C">
                  <w:pPr>
                    <w:spacing w:after="0" w:line="240" w:lineRule="auto"/>
                    <w:ind w:left="-1634" w:firstLine="1634"/>
                    <w:rPr>
                      <w:rFonts w:ascii="Calibri" w:eastAsia="Times New Roman" w:hAnsi="Calibri" w:cs="Times New Roman"/>
                      <w:color w:val="000000"/>
                    </w:rPr>
                  </w:pPr>
                </w:p>
              </w:tc>
              <w:tc>
                <w:tcPr>
                  <w:tcW w:w="243"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1802" w:type="dxa"/>
                  <w:gridSpan w:val="2"/>
                  <w:tcBorders>
                    <w:top w:val="nil"/>
                    <w:left w:val="nil"/>
                    <w:bottom w:val="nil"/>
                    <w:right w:val="nil"/>
                  </w:tcBorders>
                  <w:shd w:val="clear" w:color="auto" w:fill="auto"/>
                  <w:noWrap/>
                  <w:vAlign w:val="bottom"/>
                  <w:hideMark/>
                </w:tcPr>
                <w:p w:rsidR="00502DBD" w:rsidRPr="006A336A" w:rsidRDefault="00502DBD" w:rsidP="00502DBD">
                  <w:pPr>
                    <w:spacing w:after="0" w:line="240" w:lineRule="auto"/>
                    <w:ind w:left="-1634" w:firstLine="1634"/>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r>
            <w:tr w:rsidR="00502DBD" w:rsidRPr="006A336A" w:rsidTr="00CC5660">
              <w:trPr>
                <w:trHeight w:val="300"/>
              </w:trPr>
              <w:tc>
                <w:tcPr>
                  <w:tcW w:w="25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b/>
                      <w:bCs/>
                      <w:color w:val="000000"/>
                    </w:rPr>
                  </w:pPr>
                  <w:r>
                    <w:rPr>
                      <w:rFonts w:ascii="Calibri" w:eastAsia="Times New Roman" w:hAnsi="Calibri" w:cs="Times New Roman"/>
                      <w:b/>
                      <w:bCs/>
                      <w:noProof/>
                      <w:color w:val="000000"/>
                      <w:lang w:val="en-AU" w:eastAsia="en-AU"/>
                    </w:rPr>
                    <w:drawing>
                      <wp:anchor distT="0" distB="0" distL="114300" distR="114300" simplePos="0" relativeHeight="251719680" behindDoc="0" locked="0" layoutInCell="1" allowOverlap="1">
                        <wp:simplePos x="0" y="0"/>
                        <wp:positionH relativeFrom="column">
                          <wp:posOffset>916305</wp:posOffset>
                        </wp:positionH>
                        <wp:positionV relativeFrom="paragraph">
                          <wp:posOffset>143510</wp:posOffset>
                        </wp:positionV>
                        <wp:extent cx="5362575" cy="1962150"/>
                        <wp:effectExtent l="19050" t="0" r="9525" b="0"/>
                        <wp:wrapNone/>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664" w:type="dxa"/>
                  <w:gridSpan w:val="2"/>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r>
            <w:tr w:rsidR="00502DBD" w:rsidRPr="006A336A" w:rsidTr="00CC5660">
              <w:trPr>
                <w:trHeight w:val="300"/>
              </w:trPr>
              <w:tc>
                <w:tcPr>
                  <w:tcW w:w="25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b/>
                      <w:bCs/>
                      <w:color w:val="000000"/>
                    </w:rPr>
                  </w:pPr>
                </w:p>
              </w:tc>
              <w:tc>
                <w:tcPr>
                  <w:tcW w:w="664" w:type="dxa"/>
                  <w:gridSpan w:val="2"/>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jc w:val="cente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r>
            <w:tr w:rsidR="00502DBD" w:rsidRPr="006A336A" w:rsidTr="00CC5660">
              <w:trPr>
                <w:trHeight w:val="300"/>
              </w:trPr>
              <w:tc>
                <w:tcPr>
                  <w:tcW w:w="25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664" w:type="dxa"/>
                  <w:gridSpan w:val="2"/>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502DBD" w:rsidRPr="006A336A" w:rsidRDefault="00502DBD" w:rsidP="00CC5660">
                  <w:pPr>
                    <w:spacing w:after="0" w:line="240" w:lineRule="auto"/>
                    <w:rPr>
                      <w:rFonts w:ascii="Calibri" w:eastAsia="Times New Roman" w:hAnsi="Calibri" w:cs="Times New Roman"/>
                      <w:color w:val="000000"/>
                    </w:rPr>
                  </w:pPr>
                </w:p>
              </w:tc>
            </w:tr>
          </w:tbl>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Default="00502DBD" w:rsidP="00502DBD">
            <w:pPr>
              <w:pStyle w:val="NoSpacing"/>
              <w:rPr>
                <w:rFonts w:ascii="Arial" w:hAnsi="Arial" w:cs="Arial"/>
                <w:sz w:val="24"/>
                <w:szCs w:val="24"/>
              </w:rPr>
            </w:pPr>
          </w:p>
          <w:p w:rsidR="00502DBD" w:rsidRPr="00F5467F" w:rsidRDefault="00502DBD" w:rsidP="00502DBD">
            <w:pPr>
              <w:pStyle w:val="NoSpacing"/>
              <w:rPr>
                <w:rFonts w:ascii="Arial" w:hAnsi="Arial" w:cs="Arial"/>
                <w:sz w:val="24"/>
                <w:szCs w:val="24"/>
              </w:rPr>
            </w:pPr>
          </w:p>
          <w:p w:rsidR="006A336A" w:rsidRPr="006A336A" w:rsidRDefault="006A336A" w:rsidP="006A336A">
            <w:pPr>
              <w:spacing w:after="0" w:line="240" w:lineRule="auto"/>
              <w:rPr>
                <w:rFonts w:ascii="Calibri" w:eastAsia="Times New Roman" w:hAnsi="Calibri" w:cs="Times New Roman"/>
                <w:color w:val="000000"/>
              </w:rPr>
            </w:pPr>
          </w:p>
        </w:tc>
        <w:tc>
          <w:tcPr>
            <w:tcW w:w="664"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381"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11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A336A" w:rsidRPr="006A336A" w:rsidRDefault="006A336A" w:rsidP="006A336A">
            <w:pPr>
              <w:spacing w:after="0" w:line="240" w:lineRule="auto"/>
              <w:rPr>
                <w:rFonts w:ascii="Calibri" w:eastAsia="Times New Roman" w:hAnsi="Calibri" w:cs="Times New Roman"/>
                <w:color w:val="000000"/>
              </w:rPr>
            </w:pPr>
          </w:p>
        </w:tc>
      </w:tr>
    </w:tbl>
    <w:p w:rsidR="00CF414F" w:rsidRDefault="00CF414F" w:rsidP="00E370C6">
      <w:pPr>
        <w:pStyle w:val="Heading3"/>
      </w:pPr>
      <w:r>
        <w:rPr>
          <w:rFonts w:ascii="Calibri" w:eastAsia="Times New Roman" w:hAnsi="Calibri" w:cs="Times New Roman"/>
          <w:color w:val="000000"/>
        </w:rPr>
        <w:lastRenderedPageBreak/>
        <w:t xml:space="preserve">NAPLAN test data </w:t>
      </w:r>
      <w:r w:rsidRPr="00910305">
        <w:rPr>
          <w:rFonts w:ascii="Calibri" w:eastAsia="Times New Roman" w:hAnsi="Calibri" w:cs="Times New Roman"/>
          <w:color w:val="548DD4" w:themeColor="text2" w:themeTint="99"/>
        </w:rPr>
        <w:t>(</w:t>
      </w:r>
      <w:r w:rsidRPr="00910305">
        <w:rPr>
          <w:rStyle w:val="HTMLCite"/>
          <w:rFonts w:ascii="Arial" w:hAnsi="Arial" w:cs="Arial"/>
          <w:color w:val="548DD4" w:themeColor="text2" w:themeTint="99"/>
          <w:u w:val="single"/>
        </w:rPr>
        <w:t>www.myschool.edu.au/)</w:t>
      </w:r>
    </w:p>
    <w:p w:rsidR="00CF414F" w:rsidRPr="00CF414F" w:rsidRDefault="00CF414F" w:rsidP="00CF414F">
      <w:r w:rsidRPr="00CF414F">
        <w:rPr>
          <w:noProof/>
          <w:lang w:val="en-AU" w:eastAsia="en-AU"/>
        </w:rPr>
        <w:drawing>
          <wp:anchor distT="0" distB="0" distL="114300" distR="114300" simplePos="0" relativeHeight="251721728" behindDoc="0" locked="0" layoutInCell="1" allowOverlap="1">
            <wp:simplePos x="0" y="0"/>
            <wp:positionH relativeFrom="column">
              <wp:posOffset>-219075</wp:posOffset>
            </wp:positionH>
            <wp:positionV relativeFrom="paragraph">
              <wp:posOffset>220980</wp:posOffset>
            </wp:positionV>
            <wp:extent cx="6105525" cy="2276475"/>
            <wp:effectExtent l="19050" t="0" r="9525" b="0"/>
            <wp:wrapNone/>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p w:rsidR="00CF414F" w:rsidRDefault="00CF414F" w:rsidP="00E370C6">
      <w:pPr>
        <w:pStyle w:val="Heading3"/>
      </w:pPr>
    </w:p>
    <w:tbl>
      <w:tblPr>
        <w:tblW w:w="23164" w:type="dxa"/>
        <w:tblInd w:w="108" w:type="dxa"/>
        <w:tblLook w:val="0600"/>
      </w:tblPr>
      <w:tblGrid>
        <w:gridCol w:w="23164"/>
      </w:tblGrid>
      <w:tr w:rsidR="00CF414F" w:rsidRPr="00350574" w:rsidTr="00CC5660">
        <w:trPr>
          <w:trHeight w:val="108"/>
        </w:trPr>
        <w:tc>
          <w:tcPr>
            <w:tcW w:w="11412" w:type="dxa"/>
            <w:tcBorders>
              <w:top w:val="nil"/>
              <w:left w:val="nil"/>
              <w:bottom w:val="nil"/>
              <w:right w:val="nil"/>
            </w:tcBorders>
            <w:shd w:val="clear" w:color="auto" w:fill="auto"/>
            <w:noWrap/>
            <w:vAlign w:val="bottom"/>
            <w:hideMark/>
          </w:tcPr>
          <w:p w:rsidR="00CF414F" w:rsidRDefault="00CF414F" w:rsidP="00CC5660">
            <w:pPr>
              <w:spacing w:after="0" w:line="240" w:lineRule="auto"/>
              <w:rPr>
                <w:rStyle w:val="HTMLCite"/>
                <w:rFonts w:ascii="Arial" w:hAnsi="Arial" w:cs="Arial"/>
                <w:color w:val="548DD4" w:themeColor="text2" w:themeTint="99"/>
                <w:u w:val="single"/>
              </w:rPr>
            </w:pPr>
            <w:r>
              <w:rPr>
                <w:rFonts w:ascii="Calibri" w:eastAsia="Times New Roman" w:hAnsi="Calibri" w:cs="Times New Roman"/>
                <w:color w:val="000000"/>
              </w:rPr>
              <w:t xml:space="preserve">Student attendance and retention data </w:t>
            </w:r>
            <w:r w:rsidRPr="00910305">
              <w:rPr>
                <w:rFonts w:ascii="Calibri" w:eastAsia="Times New Roman" w:hAnsi="Calibri" w:cs="Times New Roman"/>
                <w:color w:val="548DD4" w:themeColor="text2" w:themeTint="99"/>
                <w:u w:val="single"/>
              </w:rPr>
              <w:t>(www.</w:t>
            </w:r>
            <w:r w:rsidRPr="00910305">
              <w:rPr>
                <w:rFonts w:ascii="Arial" w:hAnsi="Arial" w:cs="Arial"/>
                <w:bCs/>
                <w:color w:val="548DD4" w:themeColor="text2" w:themeTint="99"/>
                <w:u w:val="single"/>
              </w:rPr>
              <w:t xml:space="preserve"> </w:t>
            </w:r>
            <w:r w:rsidRPr="00910305">
              <w:rPr>
                <w:rStyle w:val="HTMLCite"/>
                <w:rFonts w:ascii="Arial" w:hAnsi="Arial" w:cs="Arial"/>
                <w:bCs/>
                <w:color w:val="548DD4" w:themeColor="text2" w:themeTint="99"/>
                <w:u w:val="single"/>
              </w:rPr>
              <w:t>education</w:t>
            </w:r>
            <w:r w:rsidRPr="00910305">
              <w:rPr>
                <w:rStyle w:val="HTMLCite"/>
                <w:rFonts w:ascii="Arial" w:hAnsi="Arial" w:cs="Arial"/>
                <w:color w:val="548DD4" w:themeColor="text2" w:themeTint="99"/>
                <w:u w:val="single"/>
              </w:rPr>
              <w:t>.</w:t>
            </w:r>
            <w:r w:rsidRPr="00910305">
              <w:rPr>
                <w:rStyle w:val="HTMLCite"/>
                <w:rFonts w:ascii="Arial" w:hAnsi="Arial" w:cs="Arial"/>
                <w:bCs/>
                <w:color w:val="548DD4" w:themeColor="text2" w:themeTint="99"/>
                <w:u w:val="single"/>
              </w:rPr>
              <w:t>qld</w:t>
            </w:r>
            <w:r w:rsidRPr="00910305">
              <w:rPr>
                <w:rStyle w:val="HTMLCite"/>
                <w:rFonts w:ascii="Arial" w:hAnsi="Arial" w:cs="Arial"/>
                <w:color w:val="548DD4" w:themeColor="text2" w:themeTint="99"/>
                <w:u w:val="single"/>
              </w:rPr>
              <w:t>.gov.au)</w:t>
            </w:r>
          </w:p>
          <w:p w:rsidR="00CF414F" w:rsidRPr="00350574" w:rsidRDefault="00CF414F" w:rsidP="00CC5660">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noProof/>
                <w:color w:val="000000"/>
                <w:sz w:val="16"/>
                <w:szCs w:val="16"/>
                <w:lang w:val="en-AU" w:eastAsia="en-AU"/>
              </w:rPr>
              <w:drawing>
                <wp:anchor distT="0" distB="0" distL="114300" distR="114300" simplePos="0" relativeHeight="251723776" behindDoc="0" locked="0" layoutInCell="1" allowOverlap="1">
                  <wp:simplePos x="0" y="0"/>
                  <wp:positionH relativeFrom="column">
                    <wp:posOffset>152400</wp:posOffset>
                  </wp:positionH>
                  <wp:positionV relativeFrom="paragraph">
                    <wp:posOffset>86995</wp:posOffset>
                  </wp:positionV>
                  <wp:extent cx="5772150" cy="2019300"/>
                  <wp:effectExtent l="19050" t="0" r="19050" b="0"/>
                  <wp:wrapNone/>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r>
      <w:tr w:rsidR="00CF414F" w:rsidRPr="00350574" w:rsidTr="00CC5660">
        <w:trPr>
          <w:trHeight w:val="444"/>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b/>
                <w:bCs/>
                <w:color w:val="000000"/>
                <w:sz w:val="16"/>
                <w:szCs w:val="16"/>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b/>
                <w:bCs/>
                <w:color w:val="000000"/>
                <w:sz w:val="16"/>
                <w:szCs w:val="16"/>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b/>
                <w:bCs/>
                <w:color w:val="000000"/>
                <w:sz w:val="16"/>
                <w:szCs w:val="16"/>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color w:val="000000"/>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color w:val="000000"/>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CF414F" w:rsidRPr="00350574" w:rsidTr="00CC5660">
              <w:trPr>
                <w:trHeight w:val="300"/>
                <w:tblCellSpacing w:w="0" w:type="dxa"/>
              </w:trPr>
              <w:tc>
                <w:tcPr>
                  <w:tcW w:w="960"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rPr>
                      <w:rFonts w:ascii="Calibri" w:eastAsia="Times New Roman" w:hAnsi="Calibri" w:cs="Times New Roman"/>
                      <w:color w:val="000000"/>
                    </w:rPr>
                  </w:pPr>
                </w:p>
              </w:tc>
            </w:tr>
          </w:tbl>
          <w:p w:rsidR="00CF414F" w:rsidRPr="00350574" w:rsidRDefault="00CF414F" w:rsidP="00CC5660">
            <w:pPr>
              <w:spacing w:after="0" w:line="240" w:lineRule="auto"/>
              <w:rPr>
                <w:rFonts w:ascii="Calibri" w:eastAsia="Times New Roman" w:hAnsi="Calibri" w:cs="Times New Roman"/>
                <w:color w:val="000000"/>
              </w:rPr>
            </w:pPr>
          </w:p>
        </w:tc>
      </w:tr>
      <w:tr w:rsidR="00CF414F" w:rsidRPr="00350574" w:rsidTr="00CC5660">
        <w:trPr>
          <w:trHeight w:val="300"/>
        </w:trPr>
        <w:tc>
          <w:tcPr>
            <w:tcW w:w="11412" w:type="dxa"/>
            <w:tcBorders>
              <w:top w:val="nil"/>
              <w:left w:val="nil"/>
              <w:bottom w:val="nil"/>
              <w:right w:val="nil"/>
            </w:tcBorders>
            <w:shd w:val="clear" w:color="auto" w:fill="auto"/>
            <w:noWrap/>
            <w:vAlign w:val="bottom"/>
            <w:hideMark/>
          </w:tcPr>
          <w:p w:rsidR="00CF414F" w:rsidRPr="00350574" w:rsidRDefault="00CF414F" w:rsidP="00CC5660">
            <w:pPr>
              <w:spacing w:after="0" w:line="240" w:lineRule="auto"/>
              <w:ind w:left="-534"/>
              <w:rPr>
                <w:rFonts w:ascii="Calibri" w:eastAsia="Times New Roman" w:hAnsi="Calibri" w:cs="Times New Roman"/>
                <w:color w:val="000000"/>
              </w:rPr>
            </w:pPr>
          </w:p>
        </w:tc>
      </w:tr>
      <w:tr w:rsidR="00CF414F" w:rsidRPr="00910305" w:rsidTr="00CC5660">
        <w:trPr>
          <w:trHeight w:val="300"/>
        </w:trPr>
        <w:tc>
          <w:tcPr>
            <w:tcW w:w="11412" w:type="dxa"/>
            <w:tcBorders>
              <w:top w:val="nil"/>
              <w:left w:val="nil"/>
              <w:bottom w:val="nil"/>
              <w:right w:val="nil"/>
            </w:tcBorders>
            <w:shd w:val="clear" w:color="auto" w:fill="auto"/>
            <w:noWrap/>
            <w:vAlign w:val="bottom"/>
            <w:hideMark/>
          </w:tcPr>
          <w:p w:rsidR="00CF414F" w:rsidRPr="00910305" w:rsidRDefault="00CF414F" w:rsidP="00CC5660">
            <w:pPr>
              <w:spacing w:after="0" w:line="240" w:lineRule="auto"/>
              <w:rPr>
                <w:rFonts w:ascii="Calibri" w:eastAsia="Times New Roman" w:hAnsi="Calibri" w:cs="Times New Roman"/>
              </w:rPr>
            </w:pPr>
          </w:p>
        </w:tc>
      </w:tr>
      <w:tr w:rsidR="00CF414F" w:rsidRPr="001E5138" w:rsidTr="00CC5660">
        <w:trPr>
          <w:trHeight w:val="300"/>
        </w:trPr>
        <w:tc>
          <w:tcPr>
            <w:tcW w:w="11412" w:type="dxa"/>
            <w:tcBorders>
              <w:top w:val="nil"/>
              <w:left w:val="nil"/>
              <w:bottom w:val="nil"/>
              <w:right w:val="nil"/>
            </w:tcBorders>
            <w:shd w:val="clear" w:color="auto" w:fill="auto"/>
            <w:noWrap/>
            <w:vAlign w:val="bottom"/>
            <w:hideMark/>
          </w:tcPr>
          <w:p w:rsidR="00CF414F" w:rsidRPr="001E5138" w:rsidRDefault="00CF414F" w:rsidP="00CC5660">
            <w:pPr>
              <w:spacing w:after="0" w:line="240" w:lineRule="auto"/>
              <w:rPr>
                <w:rFonts w:ascii="Calibri" w:eastAsia="Times New Roman" w:hAnsi="Calibri" w:cs="Times New Roman"/>
                <w:color w:val="000000"/>
              </w:rPr>
            </w:pPr>
          </w:p>
        </w:tc>
      </w:tr>
      <w:tr w:rsidR="00CF414F" w:rsidRPr="001E5138" w:rsidTr="00CC5660">
        <w:trPr>
          <w:trHeight w:val="300"/>
        </w:trPr>
        <w:tc>
          <w:tcPr>
            <w:tcW w:w="11412" w:type="dxa"/>
            <w:tcBorders>
              <w:top w:val="nil"/>
              <w:left w:val="nil"/>
              <w:bottom w:val="nil"/>
              <w:right w:val="nil"/>
            </w:tcBorders>
            <w:shd w:val="clear" w:color="auto" w:fill="auto"/>
            <w:noWrap/>
            <w:vAlign w:val="bottom"/>
            <w:hideMark/>
          </w:tcPr>
          <w:p w:rsidR="00CF414F" w:rsidRPr="001E5138" w:rsidRDefault="00CF414F" w:rsidP="00CC5660">
            <w:pPr>
              <w:spacing w:after="0" w:line="240" w:lineRule="auto"/>
              <w:rPr>
                <w:rFonts w:ascii="Calibri" w:eastAsia="Times New Roman" w:hAnsi="Calibri" w:cs="Times New Roman"/>
                <w:color w:val="000000"/>
              </w:rPr>
            </w:pPr>
          </w:p>
        </w:tc>
      </w:tr>
      <w:tr w:rsidR="00CF414F" w:rsidRPr="001E5138" w:rsidTr="00CC5660">
        <w:trPr>
          <w:trHeight w:val="300"/>
        </w:trPr>
        <w:tc>
          <w:tcPr>
            <w:tcW w:w="11412" w:type="dxa"/>
            <w:tcBorders>
              <w:top w:val="nil"/>
              <w:left w:val="nil"/>
              <w:bottom w:val="nil"/>
              <w:right w:val="nil"/>
            </w:tcBorders>
            <w:shd w:val="clear" w:color="auto" w:fill="auto"/>
            <w:noWrap/>
            <w:vAlign w:val="bottom"/>
            <w:hideMark/>
          </w:tcPr>
          <w:p w:rsidR="00CF414F" w:rsidRPr="001E5138" w:rsidRDefault="00CF414F" w:rsidP="00CC5660">
            <w:pPr>
              <w:spacing w:after="0" w:line="240" w:lineRule="auto"/>
              <w:rPr>
                <w:rFonts w:ascii="Calibri" w:eastAsia="Times New Roman" w:hAnsi="Calibri" w:cs="Times New Roman"/>
                <w:color w:val="000000"/>
              </w:rPr>
            </w:pPr>
            <w:r>
              <w:rPr>
                <w:rFonts w:ascii="Arial" w:hAnsi="Arial" w:cs="Arial"/>
                <w:noProof/>
                <w:lang w:val="en-AU" w:eastAsia="en-AU"/>
              </w:rPr>
              <w:drawing>
                <wp:anchor distT="0" distB="0" distL="114300" distR="114300" simplePos="0" relativeHeight="251724800" behindDoc="0" locked="0" layoutInCell="1" allowOverlap="1">
                  <wp:simplePos x="0" y="0"/>
                  <wp:positionH relativeFrom="column">
                    <wp:posOffset>760095</wp:posOffset>
                  </wp:positionH>
                  <wp:positionV relativeFrom="paragraph">
                    <wp:posOffset>280670</wp:posOffset>
                  </wp:positionV>
                  <wp:extent cx="4524375" cy="1876425"/>
                  <wp:effectExtent l="19050" t="0" r="9525" b="0"/>
                  <wp:wrapNone/>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910305">
              <w:rPr>
                <w:rStyle w:val="HTMLCite"/>
                <w:rFonts w:ascii="Arial" w:hAnsi="Arial" w:cs="Arial"/>
                <w:color w:val="auto"/>
              </w:rPr>
              <w:t>Socio economic scale of disadvantage data</w:t>
            </w:r>
            <w:r>
              <w:rPr>
                <w:rStyle w:val="HTMLCite"/>
                <w:rFonts w:ascii="Arial" w:hAnsi="Arial" w:cs="Arial"/>
                <w:color w:val="auto"/>
              </w:rPr>
              <w:t xml:space="preserve"> </w:t>
            </w:r>
            <w:r w:rsidRPr="00910305">
              <w:rPr>
                <w:rFonts w:ascii="Calibri" w:eastAsia="Times New Roman" w:hAnsi="Calibri" w:cs="Times New Roman"/>
                <w:color w:val="548DD4" w:themeColor="text2" w:themeTint="99"/>
              </w:rPr>
              <w:t>(</w:t>
            </w:r>
            <w:r w:rsidRPr="00910305">
              <w:rPr>
                <w:rStyle w:val="HTMLCite"/>
                <w:rFonts w:ascii="Arial" w:hAnsi="Arial" w:cs="Arial"/>
                <w:color w:val="548DD4" w:themeColor="text2" w:themeTint="99"/>
                <w:u w:val="single"/>
              </w:rPr>
              <w:t>www.</w:t>
            </w:r>
            <w:r w:rsidRPr="00910305">
              <w:rPr>
                <w:rStyle w:val="HTMLCite"/>
                <w:rFonts w:ascii="Arial" w:hAnsi="Arial" w:cs="Arial"/>
                <w:bCs/>
                <w:color w:val="548DD4" w:themeColor="text2" w:themeTint="99"/>
                <w:u w:val="single"/>
              </w:rPr>
              <w:t>myschool</w:t>
            </w:r>
            <w:r w:rsidRPr="00910305">
              <w:rPr>
                <w:rStyle w:val="HTMLCite"/>
                <w:rFonts w:ascii="Arial" w:hAnsi="Arial" w:cs="Arial"/>
                <w:color w:val="548DD4" w:themeColor="text2" w:themeTint="99"/>
                <w:u w:val="single"/>
              </w:rPr>
              <w:t>.edu.au/)</w:t>
            </w:r>
          </w:p>
        </w:tc>
      </w:tr>
    </w:tbl>
    <w:p w:rsidR="00191233" w:rsidRDefault="00191233" w:rsidP="00E370C6">
      <w:pPr>
        <w:pStyle w:val="Heading3"/>
      </w:pPr>
    </w:p>
    <w:p w:rsidR="00191233" w:rsidRDefault="00191233" w:rsidP="00E370C6">
      <w:pPr>
        <w:pStyle w:val="Heading3"/>
      </w:pPr>
    </w:p>
    <w:p w:rsidR="00191233" w:rsidRDefault="00191233" w:rsidP="00E370C6">
      <w:pPr>
        <w:pStyle w:val="Heading3"/>
      </w:pPr>
    </w:p>
    <w:p w:rsidR="00191233" w:rsidRDefault="00191233" w:rsidP="00E370C6">
      <w:pPr>
        <w:pStyle w:val="Heading3"/>
      </w:pPr>
    </w:p>
    <w:p w:rsidR="00191233" w:rsidRDefault="00191233" w:rsidP="00E370C6">
      <w:pPr>
        <w:pStyle w:val="Heading3"/>
      </w:pPr>
    </w:p>
    <w:p w:rsidR="00191233" w:rsidRDefault="00191233" w:rsidP="00E370C6">
      <w:pPr>
        <w:pStyle w:val="Heading3"/>
      </w:pPr>
    </w:p>
    <w:p w:rsidR="00191233" w:rsidRDefault="00191233" w:rsidP="00191233">
      <w:pPr>
        <w:tabs>
          <w:tab w:val="left" w:pos="8475"/>
        </w:tabs>
      </w:pPr>
      <w:r>
        <w:tab/>
      </w:r>
    </w:p>
    <w:p w:rsidR="00191233" w:rsidRDefault="00191233" w:rsidP="00191233">
      <w:pPr>
        <w:pStyle w:val="Heading3"/>
      </w:pPr>
      <w:r>
        <w:lastRenderedPageBreak/>
        <w:t>I</w:t>
      </w:r>
      <w:r w:rsidRPr="00B50DAC">
        <w:t xml:space="preserve">MPLICATIONS FOR THIS FOCUS AREA  </w:t>
      </w:r>
    </w:p>
    <w:p w:rsidR="00191233" w:rsidRDefault="00191233" w:rsidP="00191233">
      <w:r>
        <w:t>All recognized indicators of low socio economic circumstances are evident in these data sets.</w:t>
      </w:r>
    </w:p>
    <w:p w:rsidR="00191233" w:rsidRDefault="00191233" w:rsidP="00191233">
      <w:r>
        <w:t>The issues complicating the successful transition of youth from school to work are as follows:</w:t>
      </w:r>
    </w:p>
    <w:p w:rsidR="00191233" w:rsidRPr="00E370C6" w:rsidRDefault="00191233" w:rsidP="00191233">
      <w:r w:rsidRPr="00E370C6">
        <w:t>Many families (30%) are one parent families. This makes effective supervision of study habits, school attendance and other student pursuits difficult for parents. It also means only one family income, usually below the state norm, as the largest employment sectors are in manufacturing and retail.</w:t>
      </w:r>
    </w:p>
    <w:p w:rsidR="00191233" w:rsidRPr="00E370C6" w:rsidRDefault="00191233" w:rsidP="00191233">
      <w:r w:rsidRPr="00E370C6">
        <w:t>Other families, (24%), have less than a basic command of English. This communication difficulty does not contribute to the parent, and often the student understanding instructions or interpreting school work at any level, especially the complex area of transition from school to work.</w:t>
      </w:r>
    </w:p>
    <w:p w:rsidR="00191233" w:rsidRPr="00E370C6" w:rsidRDefault="00191233" w:rsidP="00191233">
      <w:r w:rsidRPr="00E370C6">
        <w:t>Inala has a higher proportion of indigenous students with the attendant issues related to school attendance, achievement and retention.</w:t>
      </w:r>
    </w:p>
    <w:p w:rsidR="00191233" w:rsidRPr="00E370C6" w:rsidRDefault="00191233" w:rsidP="00191233">
      <w:r w:rsidRPr="00E370C6">
        <w:t xml:space="preserve">The area is low on the SEIFA scale and consequently has a high incidence of social disadvantage generally. There is a higher rate of unemployment and a cohort of long term unemployed. Strong educational outcomes are not always highly regarded by this demographic group and early school leavers and chronic unemployment is often common. </w:t>
      </w:r>
    </w:p>
    <w:p w:rsidR="00191233" w:rsidRPr="00E370C6" w:rsidRDefault="00191233" w:rsidP="00191233">
      <w:r w:rsidRPr="00E370C6">
        <w:t xml:space="preserve">45% of all housing is rental accommodation, with 31% of those in Inala being housed in government rentals. Renters generally tend to be more </w:t>
      </w:r>
      <w:proofErr w:type="gramStart"/>
      <w:r w:rsidRPr="00E370C6">
        <w:t>itinerant</w:t>
      </w:r>
      <w:proofErr w:type="gramEnd"/>
      <w:r w:rsidRPr="00E370C6">
        <w:t xml:space="preserve"> than home owners and this can lead to a disjointed and incomplete educational experience for school children and youth. Attitudes to school are formed early in life and the prospect of attending a number of different schools over a relatively short time may not be appealing to students who elect to drop out, or to have poor attendance and learning records, and who achieve little at school.</w:t>
      </w:r>
    </w:p>
    <w:p w:rsidR="00191233" w:rsidRPr="00E370C6" w:rsidRDefault="00191233" w:rsidP="00191233">
      <w:r w:rsidRPr="00E370C6">
        <w:t>There are few large employers in the Inala area. For the most part, workers are forced to travel into other areas to find work. Only 7.8% of workers use public transport compared to the greater Brisbane number of 14.9%, and 12% more workers from Inala travel by private vehicle to work. A perceived lack of transport options for the workforce may lead to the situation where it becomes ‘too difficult’ to travel out of the immediate area to find a job.</w:t>
      </w:r>
    </w:p>
    <w:p w:rsidR="00A325BB" w:rsidRDefault="00191233" w:rsidP="00A325BB">
      <w:pPr>
        <w:pStyle w:val="Heading4"/>
      </w:pPr>
      <w:r w:rsidRPr="00E370C6">
        <w:lastRenderedPageBreak/>
        <w:t xml:space="preserve">The combination of the above factors appears to have had a debilitating effect on the educational community by lowering the educational expectations and values of many of the residents; less knowledge and awareness of transition pathways; limited English language communication skills and an incomplete understanding of the education process by migrants. Generational long term unemployment leads to the devaluing of the work ethic along with the educational and qualifications process and contributes to poor motivation to complete the transition process to the workforce or to further study. (Only 15% of students from this area attend University, compared with 34% across Queensland and 43% in the Brisbane area.) </w:t>
      </w:r>
    </w:p>
    <w:p w:rsidR="00A325BB" w:rsidRDefault="00A325BB" w:rsidP="00A325BB">
      <w:pPr>
        <w:pStyle w:val="Heading4"/>
      </w:pPr>
    </w:p>
    <w:p w:rsidR="00A325BB" w:rsidRPr="003C513F" w:rsidRDefault="00A325BB" w:rsidP="00A325BB">
      <w:pPr>
        <w:pStyle w:val="Heading4"/>
        <w:rPr>
          <w:rFonts w:asciiTheme="minorHAnsi" w:hAnsiTheme="minorHAnsi"/>
          <w:sz w:val="24"/>
          <w:szCs w:val="24"/>
        </w:rPr>
      </w:pPr>
      <w:r w:rsidRPr="003C513F">
        <w:rPr>
          <w:rFonts w:asciiTheme="minorHAnsi" w:hAnsiTheme="minorHAnsi"/>
          <w:sz w:val="24"/>
          <w:szCs w:val="24"/>
        </w:rPr>
        <w:t xml:space="preserve">IMPLICATIONS FOR THIS FOCUS AREA </w:t>
      </w:r>
      <w:r>
        <w:rPr>
          <w:rFonts w:asciiTheme="minorHAnsi" w:hAnsiTheme="minorHAnsi"/>
          <w:sz w:val="24"/>
          <w:szCs w:val="24"/>
        </w:rPr>
        <w:t>(cont)</w:t>
      </w:r>
    </w:p>
    <w:p w:rsidR="00A325BB" w:rsidRPr="003C513F" w:rsidRDefault="00A325BB" w:rsidP="00A325BB">
      <w:pPr>
        <w:rPr>
          <w:sz w:val="24"/>
          <w:szCs w:val="24"/>
        </w:rPr>
      </w:pPr>
    </w:p>
    <w:p w:rsidR="00A325BB" w:rsidRPr="008D6E87" w:rsidRDefault="00A325BB" w:rsidP="00A325BB">
      <w:r w:rsidRPr="008D6E87">
        <w:t>The NAPLAN year 9 data reveals that at two of the three schools operating within the area, the results are measurably lower than the norm for all indicators on the test. The schools contain a large number of students whose English language skills are clearly not of the standard required to face such a test at this point in their schooling. Extra assistance with English language skills could be considered to improve transitional outcomes at the senior end of the school.</w:t>
      </w:r>
    </w:p>
    <w:p w:rsidR="00A325BB" w:rsidRPr="008D6E87" w:rsidRDefault="00A325BB" w:rsidP="00A325BB">
      <w:r w:rsidRPr="008D6E87">
        <w:t>The Next Step destination data indicates that at two of the three schools in the area, there are noticeably less students attending university, or taking up apprenticeships and traineeships. The English language difficulty identified by the NAPLAN testing above may be a contributing factor in this regard. Differing cultural expectations and perhaps parental difficulties in the understanding of the importance of transition may be limiting factors as well. Transport to and from study outside the area may present some difficulties for some of the unemployed youth. There are two tertiary providers within 15 minutes driving time, one is a higher education institution and the other is a Trade skills provider. The next closest provider is in Brisbane, 50 minutes away by public transport. It may be that to encourage increased attendance at institutes of higher learning, more rapid transport options are required.</w:t>
      </w:r>
    </w:p>
    <w:p w:rsidR="00A325BB" w:rsidRPr="008D6E87" w:rsidRDefault="00A325BB" w:rsidP="00A325BB">
      <w:r w:rsidRPr="008D6E87">
        <w:t xml:space="preserve">The data also reveals a high rate of student unemployment at the time of leaving school. The factors described above, coupled with the SEIFA socio economic information, the </w:t>
      </w:r>
      <w:proofErr w:type="spellStart"/>
      <w:r w:rsidRPr="008D6E87">
        <w:t>recognised</w:t>
      </w:r>
      <w:proofErr w:type="spellEnd"/>
      <w:r w:rsidRPr="008D6E87">
        <w:t xml:space="preserve"> generational unemployment and the differing attitudes about and the value of the educational experience in the eyes of parents may be strong contributors to this unemployment phenomenon.</w:t>
      </w:r>
    </w:p>
    <w:p w:rsidR="00A325BB" w:rsidRPr="008D6E87" w:rsidRDefault="00A325BB" w:rsidP="00A325BB">
      <w:r w:rsidRPr="008D6E87">
        <w:t>The environmental scan of the Inala area shows that there are few major employers within the area and that transport options to jobs in Brisbane involve a 55 minute peak hour trip, changing from bus to train. Ipswich commuters can access Brisbane within almost the same timeframe. Transport to and from work outside the area may present some difficulties for some of the unemployed youth, given the aforementioned socio economic and ethnic factors which also impact on their degree of disadvantage</w:t>
      </w:r>
    </w:p>
    <w:p w:rsidR="00A325BB" w:rsidRPr="008D6E87" w:rsidRDefault="00A325BB" w:rsidP="00A325BB">
      <w:r w:rsidRPr="008D6E87">
        <w:t xml:space="preserve">The high number of families living in landlord rental accommodation coupled with the occupants of lower cost government housing leads to a transient population given to address and suburb changes. Schools face a </w:t>
      </w:r>
      <w:proofErr w:type="spellStart"/>
      <w:r w:rsidRPr="008D6E87">
        <w:t>difficulty</w:t>
      </w:r>
      <w:proofErr w:type="spellEnd"/>
      <w:r w:rsidRPr="008D6E87">
        <w:t xml:space="preserve"> as some students within these families change schools frequently and there is a </w:t>
      </w:r>
      <w:r w:rsidRPr="008D6E87">
        <w:lastRenderedPageBreak/>
        <w:t>lack of continuity in the education of those students, as they are exposed to schools with varying curriculum offerings, particularly at the senior end of the school. These students also run the risk of early disengagement from school because of this factor.</w:t>
      </w:r>
    </w:p>
    <w:p w:rsidR="00191233" w:rsidRPr="00E370C6" w:rsidRDefault="00191233" w:rsidP="00191233"/>
    <w:tbl>
      <w:tblPr>
        <w:tblW w:w="23164" w:type="dxa"/>
        <w:tblInd w:w="108" w:type="dxa"/>
        <w:tblLook w:val="0600"/>
      </w:tblPr>
      <w:tblGrid>
        <w:gridCol w:w="9639"/>
        <w:gridCol w:w="1773"/>
        <w:gridCol w:w="9"/>
        <w:gridCol w:w="457"/>
        <w:gridCol w:w="1316"/>
        <w:gridCol w:w="203"/>
        <w:gridCol w:w="1222"/>
        <w:gridCol w:w="514"/>
        <w:gridCol w:w="37"/>
        <w:gridCol w:w="1049"/>
        <w:gridCol w:w="687"/>
        <w:gridCol w:w="553"/>
        <w:gridCol w:w="657"/>
        <w:gridCol w:w="733"/>
        <w:gridCol w:w="383"/>
        <w:gridCol w:w="443"/>
        <w:gridCol w:w="1716"/>
        <w:gridCol w:w="57"/>
        <w:gridCol w:w="1421"/>
        <w:gridCol w:w="295"/>
      </w:tblGrid>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r>
              <w:br w:type="page"/>
            </w: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c>
          <w:tcPr>
            <w:tcW w:w="3497" w:type="dxa"/>
            <w:gridSpan w:val="6"/>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Student destination data 2009</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proofErr w:type="spellStart"/>
            <w:r w:rsidRPr="00BA4B58">
              <w:rPr>
                <w:rFonts w:ascii="Calibri" w:eastAsia="Times New Roman" w:hAnsi="Calibri" w:cs="Times New Roman"/>
                <w:b/>
                <w:bCs/>
                <w:color w:val="000000"/>
              </w:rPr>
              <w:t>Glenala</w:t>
            </w:r>
            <w:proofErr w:type="spellEnd"/>
            <w:r>
              <w:rPr>
                <w:rFonts w:ascii="Calibri" w:eastAsia="Times New Roman" w:hAnsi="Calibri" w:cs="Times New Roman"/>
                <w:b/>
                <w:bCs/>
                <w:color w:val="000000"/>
              </w:rPr>
              <w:t xml:space="preserve">    SHS</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Centenary SHS</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Forest Lake SHS</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QLD mean</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University</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16.7</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46.3</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28.6</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35.1</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Cert IV</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2.1</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9.1</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14.8</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6.7</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Cert III</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2.1</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0.6</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3.8</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2.4</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App/Ship-</w:t>
            </w:r>
            <w:proofErr w:type="spellStart"/>
            <w:r w:rsidRPr="00BA4B58">
              <w:rPr>
                <w:rFonts w:ascii="Calibri" w:eastAsia="Times New Roman" w:hAnsi="Calibri" w:cs="Times New Roman"/>
                <w:b/>
                <w:bCs/>
                <w:color w:val="000000"/>
              </w:rPr>
              <w:t>Tr</w:t>
            </w:r>
            <w:proofErr w:type="spellEnd"/>
            <w:r w:rsidRPr="00BA4B58">
              <w:rPr>
                <w:rFonts w:ascii="Calibri" w:eastAsia="Times New Roman" w:hAnsi="Calibri" w:cs="Times New Roman"/>
                <w:b/>
                <w:bCs/>
                <w:color w:val="000000"/>
              </w:rPr>
              <w:t>/ship</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2.1</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8.5</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7.7</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11.7</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Work</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43.7</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24.4</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28</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30.3</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b/>
                <w:bCs/>
                <w:color w:val="000000"/>
              </w:rPr>
            </w:pPr>
            <w:r w:rsidRPr="00BA4B58">
              <w:rPr>
                <w:rFonts w:ascii="Calibri" w:eastAsia="Times New Roman" w:hAnsi="Calibri" w:cs="Times New Roman"/>
                <w:b/>
                <w:bCs/>
                <w:color w:val="000000"/>
              </w:rPr>
              <w:t>Seeking work</w:t>
            </w: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-25</w:t>
            </w: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-7.3</w:t>
            </w: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-12.1</w:t>
            </w: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r w:rsidRPr="00BA4B58">
              <w:rPr>
                <w:rFonts w:ascii="Calibri" w:eastAsia="Times New Roman" w:hAnsi="Calibri" w:cs="Times New Roman"/>
                <w:color w:val="000000"/>
              </w:rPr>
              <w:t>8.1</w:t>
            </w: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jc w:val="center"/>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191233" w:rsidRPr="00BA4B58" w:rsidTr="00CC5660">
              <w:trPr>
                <w:trHeight w:val="300"/>
                <w:tblCellSpacing w:w="0" w:type="dxa"/>
              </w:trPr>
              <w:tc>
                <w:tcPr>
                  <w:tcW w:w="960"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bl>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BA4B58" w:rsidTr="00CC5660">
        <w:trPr>
          <w:gridAfter w:val="1"/>
          <w:wAfter w:w="295" w:type="dxa"/>
          <w:trHeight w:val="300"/>
        </w:trPr>
        <w:tc>
          <w:tcPr>
            <w:tcW w:w="11878" w:type="dxa"/>
            <w:gridSpan w:val="4"/>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519" w:type="dxa"/>
            <w:gridSpan w:val="2"/>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222"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600"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1897" w:type="dxa"/>
            <w:gridSpan w:val="3"/>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733" w:type="dxa"/>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c>
          <w:tcPr>
            <w:tcW w:w="4020" w:type="dxa"/>
            <w:gridSpan w:val="5"/>
            <w:tcBorders>
              <w:top w:val="nil"/>
              <w:left w:val="nil"/>
              <w:bottom w:val="nil"/>
              <w:right w:val="nil"/>
            </w:tcBorders>
            <w:shd w:val="clear" w:color="auto" w:fill="auto"/>
            <w:noWrap/>
            <w:vAlign w:val="bottom"/>
            <w:hideMark/>
          </w:tcPr>
          <w:p w:rsidR="00191233" w:rsidRPr="00BA4B58" w:rsidRDefault="00191233" w:rsidP="00CC5660">
            <w:pPr>
              <w:spacing w:after="0" w:line="240" w:lineRule="auto"/>
              <w:rPr>
                <w:rFonts w:ascii="Calibri" w:eastAsia="Times New Roman" w:hAnsi="Calibri" w:cs="Times New Roman"/>
                <w:color w:val="000000"/>
              </w:rPr>
            </w:pPr>
          </w:p>
        </w:tc>
      </w:tr>
      <w:tr w:rsidR="00191233" w:rsidRPr="00350574" w:rsidTr="00CC5660">
        <w:trPr>
          <w:trHeight w:val="108"/>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3712" w:type="dxa"/>
            <w:gridSpan w:val="6"/>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r w:rsidRPr="00350574">
              <w:rPr>
                <w:rFonts w:ascii="Calibri" w:eastAsia="Times New Roman" w:hAnsi="Calibri" w:cs="Times New Roman"/>
                <w:color w:val="000000"/>
                <w:sz w:val="16"/>
                <w:szCs w:val="16"/>
              </w:rPr>
              <w:t>577</w:t>
            </w: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444"/>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b/>
                <w:bCs/>
                <w:color w:val="000000"/>
                <w:sz w:val="16"/>
                <w:szCs w:val="16"/>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b/>
                <w:bCs/>
                <w:color w:val="000000"/>
              </w:rPr>
            </w:pPr>
            <w:r w:rsidRPr="00350574">
              <w:rPr>
                <w:rFonts w:ascii="Calibri" w:eastAsia="Times New Roman" w:hAnsi="Calibri" w:cs="Times New Roman"/>
                <w:b/>
                <w:bCs/>
                <w:color w:val="000000"/>
              </w:rPr>
              <w:t>Numeracy 09</w:t>
            </w: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rPr>
            </w:pPr>
            <w:r w:rsidRPr="00350574">
              <w:rPr>
                <w:rFonts w:ascii="Calibri" w:eastAsia="Times New Roman" w:hAnsi="Calibri" w:cs="Times New Roman"/>
                <w:color w:val="000000"/>
              </w:rPr>
              <w:t>586</w:t>
            </w: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rPr>
            </w:pPr>
            <w:r w:rsidRPr="00350574">
              <w:rPr>
                <w:rFonts w:ascii="Calibri" w:eastAsia="Times New Roman" w:hAnsi="Calibri" w:cs="Times New Roman"/>
                <w:color w:val="000000"/>
              </w:rPr>
              <w:t>521</w:t>
            </w: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rPr>
            </w:pPr>
            <w:r w:rsidRPr="00350574">
              <w:rPr>
                <w:rFonts w:ascii="Calibri" w:eastAsia="Times New Roman" w:hAnsi="Calibri" w:cs="Times New Roman"/>
                <w:color w:val="000000"/>
              </w:rPr>
              <w:t>514</w:t>
            </w: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b/>
                <w:bCs/>
                <w:color w:val="000000"/>
                <w:sz w:val="16"/>
                <w:szCs w:val="16"/>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sz w:val="16"/>
                <w:szCs w:val="16"/>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jc w:val="center"/>
              <w:rPr>
                <w:rFonts w:ascii="Calibri" w:eastAsia="Times New Roman" w:hAnsi="Calibri" w:cs="Times New Roman"/>
                <w:color w:val="000000"/>
              </w:rPr>
            </w:pPr>
            <w:r w:rsidRPr="00350574">
              <w:rPr>
                <w:rFonts w:ascii="Calibri" w:eastAsia="Times New Roman" w:hAnsi="Calibri" w:cs="Times New Roman"/>
                <w:color w:val="000000"/>
              </w:rPr>
              <w:t>589</w:t>
            </w: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ind w:left="-534"/>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97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3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910305" w:rsidRDefault="00191233" w:rsidP="00CC5660">
            <w:pPr>
              <w:spacing w:after="0" w:line="240" w:lineRule="auto"/>
              <w:rPr>
                <w:rFonts w:ascii="Calibri" w:eastAsia="Times New Roman" w:hAnsi="Calibri" w:cs="Times New Roman"/>
              </w:rPr>
            </w:pPr>
          </w:p>
        </w:tc>
        <w:tc>
          <w:tcPr>
            <w:tcW w:w="1782" w:type="dxa"/>
            <w:gridSpan w:val="3"/>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976" w:type="dxa"/>
            <w:gridSpan w:val="4"/>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b/>
                <w:bCs/>
                <w:color w:val="000000"/>
              </w:rPr>
            </w:pPr>
            <w:r w:rsidRPr="001E5138">
              <w:rPr>
                <w:rFonts w:ascii="Calibri" w:eastAsia="Times New Roman" w:hAnsi="Calibri" w:cs="Times New Roman"/>
                <w:b/>
                <w:bCs/>
                <w:color w:val="000000"/>
              </w:rPr>
              <w:t>Attendance</w:t>
            </w:r>
          </w:p>
        </w:tc>
        <w:tc>
          <w:tcPr>
            <w:tcW w:w="1736"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b/>
                <w:bCs/>
                <w:color w:val="000000"/>
              </w:rPr>
            </w:pPr>
            <w:r w:rsidRPr="001E5138">
              <w:rPr>
                <w:rFonts w:ascii="Calibri" w:eastAsia="Times New Roman" w:hAnsi="Calibri" w:cs="Times New Roman"/>
                <w:b/>
                <w:bCs/>
                <w:color w:val="000000"/>
              </w:rPr>
              <w:t>Retention</w:t>
            </w: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r w:rsidRPr="001E5138">
              <w:rPr>
                <w:rFonts w:ascii="Calibri" w:eastAsia="Times New Roman" w:hAnsi="Calibri" w:cs="Times New Roman"/>
                <w:b/>
                <w:bCs/>
                <w:color w:val="000000"/>
              </w:rPr>
              <w:t>Centenary SHS</w:t>
            </w:r>
          </w:p>
        </w:tc>
        <w:tc>
          <w:tcPr>
            <w:tcW w:w="1976" w:type="dxa"/>
            <w:gridSpan w:val="4"/>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92</w:t>
            </w:r>
          </w:p>
        </w:tc>
        <w:tc>
          <w:tcPr>
            <w:tcW w:w="1736"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80</w:t>
            </w: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r w:rsidRPr="001E5138">
              <w:rPr>
                <w:rFonts w:ascii="Calibri" w:eastAsia="Times New Roman" w:hAnsi="Calibri" w:cs="Times New Roman"/>
                <w:b/>
                <w:bCs/>
                <w:color w:val="000000"/>
              </w:rPr>
              <w:t>Forest Lake</w:t>
            </w:r>
          </w:p>
        </w:tc>
        <w:tc>
          <w:tcPr>
            <w:tcW w:w="1976" w:type="dxa"/>
            <w:gridSpan w:val="4"/>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89</w:t>
            </w:r>
          </w:p>
        </w:tc>
        <w:tc>
          <w:tcPr>
            <w:tcW w:w="1736"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82</w:t>
            </w: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trHeight w:val="300"/>
        </w:trPr>
        <w:tc>
          <w:tcPr>
            <w:tcW w:w="11412"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782" w:type="dxa"/>
            <w:gridSpan w:val="3"/>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proofErr w:type="spellStart"/>
            <w:r w:rsidRPr="001E5138">
              <w:rPr>
                <w:rFonts w:ascii="Calibri" w:eastAsia="Times New Roman" w:hAnsi="Calibri" w:cs="Times New Roman"/>
                <w:b/>
                <w:bCs/>
                <w:color w:val="000000"/>
              </w:rPr>
              <w:t>Glenala</w:t>
            </w:r>
            <w:proofErr w:type="spellEnd"/>
          </w:p>
        </w:tc>
        <w:tc>
          <w:tcPr>
            <w:tcW w:w="1976" w:type="dxa"/>
            <w:gridSpan w:val="4"/>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82</w:t>
            </w:r>
          </w:p>
        </w:tc>
        <w:tc>
          <w:tcPr>
            <w:tcW w:w="1736"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70</w:t>
            </w: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3"/>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gridSpan w:val="2"/>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r w:rsidR="00191233" w:rsidRPr="00350574" w:rsidTr="00CC5660">
        <w:trPr>
          <w:gridAfter w:val="3"/>
          <w:wAfter w:w="1773" w:type="dxa"/>
          <w:trHeight w:val="11341"/>
        </w:trPr>
        <w:tc>
          <w:tcPr>
            <w:tcW w:w="9639" w:type="dxa"/>
            <w:tcBorders>
              <w:top w:val="nil"/>
              <w:left w:val="nil"/>
              <w:bottom w:val="nil"/>
              <w:right w:val="nil"/>
            </w:tcBorders>
            <w:shd w:val="clear" w:color="auto" w:fill="auto"/>
            <w:noWrap/>
            <w:vAlign w:val="bottom"/>
            <w:hideMark/>
          </w:tcPr>
          <w:p w:rsidR="00191233" w:rsidRPr="001E5138" w:rsidRDefault="00191233" w:rsidP="00191233">
            <w:pPr>
              <w:rPr>
                <w:rFonts w:ascii="Calibri" w:eastAsia="Times New Roman" w:hAnsi="Calibri" w:cs="Times New Roman"/>
                <w:color w:val="000000"/>
              </w:rPr>
            </w:pPr>
          </w:p>
        </w:tc>
        <w:tc>
          <w:tcPr>
            <w:tcW w:w="1782"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p>
        </w:tc>
        <w:tc>
          <w:tcPr>
            <w:tcW w:w="1976" w:type="dxa"/>
            <w:gridSpan w:val="3"/>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92.7</w:t>
            </w:r>
          </w:p>
        </w:tc>
        <w:tc>
          <w:tcPr>
            <w:tcW w:w="1736" w:type="dxa"/>
            <w:gridSpan w:val="2"/>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r w:rsidRPr="001E5138">
              <w:rPr>
                <w:rFonts w:ascii="Calibri" w:eastAsia="Times New Roman" w:hAnsi="Calibri" w:cs="Times New Roman"/>
                <w:color w:val="000000"/>
              </w:rPr>
              <w:t>70.7</w:t>
            </w:r>
          </w:p>
        </w:tc>
        <w:tc>
          <w:tcPr>
            <w:tcW w:w="232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2216" w:type="dxa"/>
            <w:gridSpan w:val="4"/>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c>
          <w:tcPr>
            <w:tcW w:w="1716" w:type="dxa"/>
            <w:tcBorders>
              <w:top w:val="nil"/>
              <w:left w:val="nil"/>
              <w:bottom w:val="nil"/>
              <w:right w:val="nil"/>
            </w:tcBorders>
            <w:shd w:val="clear" w:color="auto" w:fill="auto"/>
            <w:noWrap/>
            <w:vAlign w:val="bottom"/>
            <w:hideMark/>
          </w:tcPr>
          <w:p w:rsidR="00191233" w:rsidRPr="00350574" w:rsidRDefault="00191233" w:rsidP="00CC5660">
            <w:pPr>
              <w:spacing w:after="0" w:line="240" w:lineRule="auto"/>
              <w:rPr>
                <w:rFonts w:ascii="Calibri" w:eastAsia="Times New Roman" w:hAnsi="Calibri" w:cs="Times New Roman"/>
                <w:color w:val="000000"/>
              </w:rPr>
            </w:pPr>
          </w:p>
        </w:tc>
      </w:tr>
    </w:tbl>
    <w:tbl>
      <w:tblPr>
        <w:tblpPr w:leftFromText="180" w:rightFromText="180" w:vertAnchor="text" w:horzAnchor="margin" w:tblpY="-2202"/>
        <w:tblOverlap w:val="never"/>
        <w:tblW w:w="11196" w:type="dxa"/>
        <w:tblLook w:val="04A0"/>
      </w:tblPr>
      <w:tblGrid>
        <w:gridCol w:w="1716"/>
        <w:gridCol w:w="1976"/>
        <w:gridCol w:w="1736"/>
        <w:gridCol w:w="3816"/>
        <w:gridCol w:w="236"/>
        <w:gridCol w:w="1716"/>
      </w:tblGrid>
      <w:tr w:rsidR="00191233" w:rsidRPr="001E5138" w:rsidTr="00CC5660">
        <w:trPr>
          <w:trHeight w:val="300"/>
        </w:trPr>
        <w:tc>
          <w:tcPr>
            <w:tcW w:w="17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97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p>
        </w:tc>
        <w:tc>
          <w:tcPr>
            <w:tcW w:w="173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p>
        </w:tc>
        <w:tc>
          <w:tcPr>
            <w:tcW w:w="38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7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r>
      <w:tr w:rsidR="00191233" w:rsidRPr="001E5138" w:rsidTr="00CC5660">
        <w:trPr>
          <w:trHeight w:val="300"/>
        </w:trPr>
        <w:tc>
          <w:tcPr>
            <w:tcW w:w="17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97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b/>
                <w:bCs/>
                <w:color w:val="000000"/>
              </w:rPr>
            </w:pPr>
          </w:p>
        </w:tc>
        <w:tc>
          <w:tcPr>
            <w:tcW w:w="173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p>
        </w:tc>
        <w:tc>
          <w:tcPr>
            <w:tcW w:w="38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jc w:val="center"/>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c>
          <w:tcPr>
            <w:tcW w:w="1716" w:type="dxa"/>
            <w:tcBorders>
              <w:top w:val="nil"/>
              <w:left w:val="nil"/>
              <w:bottom w:val="nil"/>
              <w:right w:val="nil"/>
            </w:tcBorders>
            <w:shd w:val="clear" w:color="auto" w:fill="auto"/>
            <w:noWrap/>
            <w:vAlign w:val="bottom"/>
            <w:hideMark/>
          </w:tcPr>
          <w:p w:rsidR="00191233" w:rsidRPr="001E5138" w:rsidRDefault="00191233" w:rsidP="00CC5660">
            <w:pPr>
              <w:spacing w:after="0" w:line="240" w:lineRule="auto"/>
              <w:rPr>
                <w:rFonts w:ascii="Calibri" w:eastAsia="Times New Roman" w:hAnsi="Calibri" w:cs="Times New Roman"/>
                <w:color w:val="000000"/>
              </w:rPr>
            </w:pPr>
          </w:p>
        </w:tc>
      </w:tr>
    </w:tbl>
    <w:p w:rsidR="00191233" w:rsidRDefault="00191233" w:rsidP="00191233">
      <w:pPr>
        <w:pStyle w:val="NoSpacing"/>
        <w:rPr>
          <w:rFonts w:ascii="Arial" w:hAnsi="Arial" w:cs="Arial"/>
          <w:i/>
          <w:sz w:val="24"/>
          <w:szCs w:val="24"/>
        </w:rPr>
      </w:pPr>
    </w:p>
    <w:p w:rsidR="00191233" w:rsidRPr="00191233" w:rsidRDefault="00191233" w:rsidP="00191233">
      <w:pPr>
        <w:tabs>
          <w:tab w:val="left" w:pos="8475"/>
        </w:tabs>
      </w:pPr>
    </w:p>
    <w:sectPr w:rsidR="00191233" w:rsidRPr="00191233" w:rsidSect="00F1396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14F" w:rsidRDefault="00CF414F" w:rsidP="00CF414F">
      <w:pPr>
        <w:spacing w:after="0" w:line="240" w:lineRule="auto"/>
      </w:pPr>
      <w:r>
        <w:separator/>
      </w:r>
    </w:p>
  </w:endnote>
  <w:endnote w:type="continuationSeparator" w:id="0">
    <w:p w:rsidR="00CF414F" w:rsidRDefault="00CF414F" w:rsidP="00CF4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14F" w:rsidRDefault="00CF414F" w:rsidP="00CF414F">
      <w:pPr>
        <w:spacing w:after="0" w:line="240" w:lineRule="auto"/>
      </w:pPr>
      <w:r>
        <w:separator/>
      </w:r>
    </w:p>
  </w:footnote>
  <w:footnote w:type="continuationSeparator" w:id="0">
    <w:p w:rsidR="00CF414F" w:rsidRDefault="00CF414F" w:rsidP="00CF4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887"/>
    <w:multiLevelType w:val="hybridMultilevel"/>
    <w:tmpl w:val="D9C02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077CF"/>
    <w:multiLevelType w:val="hybridMultilevel"/>
    <w:tmpl w:val="BB42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5746E"/>
    <w:multiLevelType w:val="hybridMultilevel"/>
    <w:tmpl w:val="E786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C0791"/>
    <w:multiLevelType w:val="hybridMultilevel"/>
    <w:tmpl w:val="FAB6C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E0290"/>
    <w:multiLevelType w:val="hybridMultilevel"/>
    <w:tmpl w:val="D6E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22276"/>
    <w:multiLevelType w:val="hybridMultilevel"/>
    <w:tmpl w:val="5EF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C145F"/>
    <w:multiLevelType w:val="hybridMultilevel"/>
    <w:tmpl w:val="5856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C4D75"/>
    <w:multiLevelType w:val="hybridMultilevel"/>
    <w:tmpl w:val="547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46349"/>
    <w:multiLevelType w:val="hybridMultilevel"/>
    <w:tmpl w:val="456498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710C3955"/>
    <w:multiLevelType w:val="hybridMultilevel"/>
    <w:tmpl w:val="433A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9D6D20"/>
    <w:multiLevelType w:val="hybridMultilevel"/>
    <w:tmpl w:val="55B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4"/>
  </w:num>
  <w:num w:numId="6">
    <w:abstractNumId w:val="6"/>
  </w:num>
  <w:num w:numId="7">
    <w:abstractNumId w:val="2"/>
  </w:num>
  <w:num w:numId="8">
    <w:abstractNumId w:val="3"/>
  </w:num>
  <w:num w:numId="9">
    <w:abstractNumId w:val="0"/>
  </w:num>
  <w:num w:numId="10">
    <w:abstractNumId w:val="8"/>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footnotePr>
    <w:footnote w:id="-1"/>
    <w:footnote w:id="0"/>
  </w:footnotePr>
  <w:endnotePr>
    <w:endnote w:id="-1"/>
    <w:endnote w:id="0"/>
  </w:endnotePr>
  <w:compat/>
  <w:rsids>
    <w:rsidRoot w:val="00F5467F"/>
    <w:rsid w:val="00030D19"/>
    <w:rsid w:val="000954E9"/>
    <w:rsid w:val="000A0676"/>
    <w:rsid w:val="00116552"/>
    <w:rsid w:val="00143BE4"/>
    <w:rsid w:val="00185090"/>
    <w:rsid w:val="001869D5"/>
    <w:rsid w:val="00191233"/>
    <w:rsid w:val="001C11F2"/>
    <w:rsid w:val="001E5138"/>
    <w:rsid w:val="002155DE"/>
    <w:rsid w:val="003464C3"/>
    <w:rsid w:val="00350574"/>
    <w:rsid w:val="003917E7"/>
    <w:rsid w:val="00392100"/>
    <w:rsid w:val="003A1BAC"/>
    <w:rsid w:val="00437488"/>
    <w:rsid w:val="004C325B"/>
    <w:rsid w:val="00500456"/>
    <w:rsid w:val="00502DBD"/>
    <w:rsid w:val="00526943"/>
    <w:rsid w:val="00526A91"/>
    <w:rsid w:val="00533C12"/>
    <w:rsid w:val="005352A7"/>
    <w:rsid w:val="00543C21"/>
    <w:rsid w:val="00563E3F"/>
    <w:rsid w:val="005B7643"/>
    <w:rsid w:val="005C4F50"/>
    <w:rsid w:val="005F343D"/>
    <w:rsid w:val="00647AD0"/>
    <w:rsid w:val="00675FCA"/>
    <w:rsid w:val="006A336A"/>
    <w:rsid w:val="00743EE1"/>
    <w:rsid w:val="00863A38"/>
    <w:rsid w:val="008B1B46"/>
    <w:rsid w:val="008C0039"/>
    <w:rsid w:val="008C03B1"/>
    <w:rsid w:val="008F2741"/>
    <w:rsid w:val="00910305"/>
    <w:rsid w:val="009450C8"/>
    <w:rsid w:val="009C54EE"/>
    <w:rsid w:val="009E3C37"/>
    <w:rsid w:val="00A11699"/>
    <w:rsid w:val="00A32161"/>
    <w:rsid w:val="00A325BB"/>
    <w:rsid w:val="00A62596"/>
    <w:rsid w:val="00AE46E5"/>
    <w:rsid w:val="00B36FD0"/>
    <w:rsid w:val="00B50DAC"/>
    <w:rsid w:val="00B549B5"/>
    <w:rsid w:val="00B73C0A"/>
    <w:rsid w:val="00BA4B58"/>
    <w:rsid w:val="00BA6EE3"/>
    <w:rsid w:val="00BA7169"/>
    <w:rsid w:val="00C2638B"/>
    <w:rsid w:val="00C374B7"/>
    <w:rsid w:val="00C53087"/>
    <w:rsid w:val="00CC0B32"/>
    <w:rsid w:val="00CF135D"/>
    <w:rsid w:val="00CF414F"/>
    <w:rsid w:val="00D06B92"/>
    <w:rsid w:val="00D30CBA"/>
    <w:rsid w:val="00D43FDE"/>
    <w:rsid w:val="00D674E3"/>
    <w:rsid w:val="00D93293"/>
    <w:rsid w:val="00DA0723"/>
    <w:rsid w:val="00DE4A92"/>
    <w:rsid w:val="00DF623C"/>
    <w:rsid w:val="00E14471"/>
    <w:rsid w:val="00E3243D"/>
    <w:rsid w:val="00E370C6"/>
    <w:rsid w:val="00E66D60"/>
    <w:rsid w:val="00E811D9"/>
    <w:rsid w:val="00EB797B"/>
    <w:rsid w:val="00ED4886"/>
    <w:rsid w:val="00F03534"/>
    <w:rsid w:val="00F13967"/>
    <w:rsid w:val="00F30C3F"/>
    <w:rsid w:val="00F5384E"/>
    <w:rsid w:val="00F5467F"/>
    <w:rsid w:val="00FA2A7A"/>
    <w:rsid w:val="00FB6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67"/>
  </w:style>
  <w:style w:type="paragraph" w:styleId="Heading1">
    <w:name w:val="heading 1"/>
    <w:basedOn w:val="Normal"/>
    <w:next w:val="Normal"/>
    <w:link w:val="Heading1Char"/>
    <w:uiPriority w:val="9"/>
    <w:qFormat/>
    <w:rsid w:val="00F546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6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6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46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7F"/>
    <w:rPr>
      <w:rFonts w:ascii="Tahoma" w:hAnsi="Tahoma" w:cs="Tahoma"/>
      <w:sz w:val="16"/>
      <w:szCs w:val="16"/>
    </w:rPr>
  </w:style>
  <w:style w:type="paragraph" w:styleId="ListParagraph">
    <w:name w:val="List Paragraph"/>
    <w:basedOn w:val="Normal"/>
    <w:uiPriority w:val="34"/>
    <w:qFormat/>
    <w:rsid w:val="00F5467F"/>
    <w:pPr>
      <w:spacing w:after="0" w:line="240" w:lineRule="auto"/>
      <w:ind w:left="720"/>
      <w:contextualSpacing/>
    </w:pPr>
    <w:rPr>
      <w:rFonts w:ascii="Arial" w:eastAsia="Times New Roman" w:hAnsi="Arial" w:cs="Times New Roman"/>
      <w:szCs w:val="20"/>
      <w:lang w:val="en-AU"/>
    </w:rPr>
  </w:style>
  <w:style w:type="character" w:customStyle="1" w:styleId="Heading3Char">
    <w:name w:val="Heading 3 Char"/>
    <w:basedOn w:val="DefaultParagraphFont"/>
    <w:link w:val="Heading3"/>
    <w:uiPriority w:val="9"/>
    <w:rsid w:val="00F546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467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5467F"/>
    <w:rPr>
      <w:color w:val="0000FF" w:themeColor="hyperlink"/>
      <w:u w:val="single"/>
    </w:rPr>
  </w:style>
  <w:style w:type="paragraph" w:styleId="NoSpacing">
    <w:name w:val="No Spacing"/>
    <w:uiPriority w:val="1"/>
    <w:qFormat/>
    <w:rsid w:val="00F5467F"/>
    <w:pPr>
      <w:spacing w:after="0" w:line="240" w:lineRule="auto"/>
    </w:pPr>
  </w:style>
  <w:style w:type="character" w:customStyle="1" w:styleId="Heading1Char">
    <w:name w:val="Heading 1 Char"/>
    <w:basedOn w:val="DefaultParagraphFont"/>
    <w:link w:val="Heading1"/>
    <w:uiPriority w:val="9"/>
    <w:rsid w:val="00F546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467F"/>
    <w:rPr>
      <w:rFonts w:asciiTheme="majorHAnsi" w:eastAsiaTheme="majorEastAsia" w:hAnsiTheme="majorHAnsi" w:cstheme="majorBidi"/>
      <w:b/>
      <w:bCs/>
      <w:color w:val="4F81BD" w:themeColor="accent1"/>
      <w:sz w:val="26"/>
      <w:szCs w:val="26"/>
    </w:rPr>
  </w:style>
  <w:style w:type="character" w:customStyle="1" w:styleId="forminfo">
    <w:name w:val="forminfo"/>
    <w:basedOn w:val="DefaultParagraphFont"/>
    <w:rsid w:val="00AE46E5"/>
  </w:style>
  <w:style w:type="character" w:styleId="Emphasis">
    <w:name w:val="Emphasis"/>
    <w:basedOn w:val="DefaultParagraphFont"/>
    <w:uiPriority w:val="20"/>
    <w:qFormat/>
    <w:rsid w:val="005C4F50"/>
    <w:rPr>
      <w:i/>
      <w:iCs/>
    </w:rPr>
  </w:style>
  <w:style w:type="character" w:styleId="Strong">
    <w:name w:val="Strong"/>
    <w:basedOn w:val="DefaultParagraphFont"/>
    <w:uiPriority w:val="22"/>
    <w:qFormat/>
    <w:rsid w:val="005C4F50"/>
    <w:rPr>
      <w:b/>
      <w:bCs/>
    </w:rPr>
  </w:style>
  <w:style w:type="character" w:styleId="FollowedHyperlink">
    <w:name w:val="FollowedHyperlink"/>
    <w:basedOn w:val="DefaultParagraphFont"/>
    <w:uiPriority w:val="99"/>
    <w:semiHidden/>
    <w:unhideWhenUsed/>
    <w:rsid w:val="00EB797B"/>
    <w:rPr>
      <w:color w:val="800080" w:themeColor="followedHyperlink"/>
      <w:u w:val="single"/>
    </w:rPr>
  </w:style>
  <w:style w:type="character" w:styleId="HTMLCite">
    <w:name w:val="HTML Cite"/>
    <w:basedOn w:val="DefaultParagraphFont"/>
    <w:uiPriority w:val="99"/>
    <w:semiHidden/>
    <w:unhideWhenUsed/>
    <w:rsid w:val="00910305"/>
    <w:rPr>
      <w:i w:val="0"/>
      <w:iCs w:val="0"/>
      <w:color w:val="008000"/>
    </w:rPr>
  </w:style>
  <w:style w:type="paragraph" w:styleId="Header">
    <w:name w:val="header"/>
    <w:basedOn w:val="Normal"/>
    <w:link w:val="HeaderChar"/>
    <w:uiPriority w:val="99"/>
    <w:semiHidden/>
    <w:unhideWhenUsed/>
    <w:rsid w:val="00CF41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14F"/>
  </w:style>
  <w:style w:type="paragraph" w:styleId="Footer">
    <w:name w:val="footer"/>
    <w:basedOn w:val="Normal"/>
    <w:link w:val="FooterChar"/>
    <w:uiPriority w:val="99"/>
    <w:semiHidden/>
    <w:unhideWhenUsed/>
    <w:rsid w:val="00CF41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414F"/>
  </w:style>
</w:styles>
</file>

<file path=word/webSettings.xml><?xml version="1.0" encoding="utf-8"?>
<w:webSettings xmlns:r="http://schemas.openxmlformats.org/officeDocument/2006/relationships" xmlns:w="http://schemas.openxmlformats.org/wordprocessingml/2006/main">
  <w:divs>
    <w:div w:id="45885466">
      <w:bodyDiv w:val="1"/>
      <w:marLeft w:val="0"/>
      <w:marRight w:val="0"/>
      <w:marTop w:val="0"/>
      <w:marBottom w:val="0"/>
      <w:divBdr>
        <w:top w:val="none" w:sz="0" w:space="0" w:color="auto"/>
        <w:left w:val="none" w:sz="0" w:space="0" w:color="auto"/>
        <w:bottom w:val="none" w:sz="0" w:space="0" w:color="auto"/>
        <w:right w:val="none" w:sz="0" w:space="0" w:color="auto"/>
      </w:divBdr>
      <w:divsChild>
        <w:div w:id="1309356814">
          <w:marLeft w:val="0"/>
          <w:marRight w:val="0"/>
          <w:marTop w:val="0"/>
          <w:marBottom w:val="0"/>
          <w:divBdr>
            <w:top w:val="none" w:sz="0" w:space="0" w:color="auto"/>
            <w:left w:val="none" w:sz="0" w:space="0" w:color="auto"/>
            <w:bottom w:val="none" w:sz="0" w:space="0" w:color="auto"/>
            <w:right w:val="none" w:sz="0" w:space="0" w:color="auto"/>
          </w:divBdr>
        </w:div>
        <w:div w:id="807089062">
          <w:marLeft w:val="135"/>
          <w:marRight w:val="0"/>
          <w:marTop w:val="0"/>
          <w:marBottom w:val="0"/>
          <w:divBdr>
            <w:top w:val="none" w:sz="0" w:space="0" w:color="auto"/>
            <w:left w:val="none" w:sz="0" w:space="0" w:color="auto"/>
            <w:bottom w:val="none" w:sz="0" w:space="0" w:color="auto"/>
            <w:right w:val="none" w:sz="0" w:space="0" w:color="auto"/>
          </w:divBdr>
          <w:divsChild>
            <w:div w:id="1047603403">
              <w:marLeft w:val="0"/>
              <w:marRight w:val="0"/>
              <w:marTop w:val="0"/>
              <w:marBottom w:val="288"/>
              <w:divBdr>
                <w:top w:val="none" w:sz="0" w:space="0" w:color="auto"/>
                <w:left w:val="none" w:sz="0" w:space="0" w:color="auto"/>
                <w:bottom w:val="none" w:sz="0" w:space="0" w:color="auto"/>
                <w:right w:val="none" w:sz="0" w:space="0" w:color="auto"/>
              </w:divBdr>
              <w:divsChild>
                <w:div w:id="970744931">
                  <w:marLeft w:val="0"/>
                  <w:marRight w:val="0"/>
                  <w:marTop w:val="0"/>
                  <w:marBottom w:val="288"/>
                  <w:divBdr>
                    <w:top w:val="none" w:sz="0" w:space="0" w:color="auto"/>
                    <w:left w:val="none" w:sz="0" w:space="0" w:color="auto"/>
                    <w:bottom w:val="none" w:sz="0" w:space="0" w:color="auto"/>
                    <w:right w:val="none" w:sz="0" w:space="0" w:color="auto"/>
                  </w:divBdr>
                  <w:divsChild>
                    <w:div w:id="1366521215">
                      <w:marLeft w:val="0"/>
                      <w:marRight w:val="0"/>
                      <w:marTop w:val="0"/>
                      <w:marBottom w:val="0"/>
                      <w:divBdr>
                        <w:top w:val="none" w:sz="0" w:space="0" w:color="auto"/>
                        <w:left w:val="none" w:sz="0" w:space="0" w:color="auto"/>
                        <w:bottom w:val="none" w:sz="0" w:space="0" w:color="auto"/>
                        <w:right w:val="none" w:sz="0" w:space="0" w:color="auto"/>
                      </w:divBdr>
                      <w:divsChild>
                        <w:div w:id="1370377127">
                          <w:marLeft w:val="0"/>
                          <w:marRight w:val="0"/>
                          <w:marTop w:val="240"/>
                          <w:marBottom w:val="0"/>
                          <w:divBdr>
                            <w:top w:val="none" w:sz="0" w:space="0" w:color="auto"/>
                            <w:left w:val="none" w:sz="0" w:space="0" w:color="auto"/>
                            <w:bottom w:val="none" w:sz="0" w:space="0" w:color="auto"/>
                            <w:right w:val="none" w:sz="0" w:space="0" w:color="auto"/>
                          </w:divBdr>
                          <w:divsChild>
                            <w:div w:id="1869678428">
                              <w:marLeft w:val="0"/>
                              <w:marRight w:val="0"/>
                              <w:marTop w:val="0"/>
                              <w:marBottom w:val="0"/>
                              <w:divBdr>
                                <w:top w:val="none" w:sz="0" w:space="0" w:color="auto"/>
                                <w:left w:val="none" w:sz="0" w:space="0" w:color="auto"/>
                                <w:bottom w:val="none" w:sz="0" w:space="0" w:color="auto"/>
                                <w:right w:val="none" w:sz="0" w:space="0" w:color="auto"/>
                              </w:divBdr>
                              <w:divsChild>
                                <w:div w:id="7022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8807">
                      <w:marLeft w:val="0"/>
                      <w:marRight w:val="0"/>
                      <w:marTop w:val="0"/>
                      <w:marBottom w:val="0"/>
                      <w:divBdr>
                        <w:top w:val="none" w:sz="0" w:space="0" w:color="auto"/>
                        <w:left w:val="none" w:sz="0" w:space="0" w:color="auto"/>
                        <w:bottom w:val="none" w:sz="0" w:space="0" w:color="auto"/>
                        <w:right w:val="none" w:sz="0" w:space="0" w:color="auto"/>
                      </w:divBdr>
                      <w:divsChild>
                        <w:div w:id="635377890">
                          <w:marLeft w:val="0"/>
                          <w:marRight w:val="0"/>
                          <w:marTop w:val="0"/>
                          <w:marBottom w:val="0"/>
                          <w:divBdr>
                            <w:top w:val="none" w:sz="0" w:space="0" w:color="auto"/>
                            <w:left w:val="none" w:sz="0" w:space="0" w:color="auto"/>
                            <w:bottom w:val="none" w:sz="0" w:space="0" w:color="auto"/>
                            <w:right w:val="none" w:sz="0" w:space="0" w:color="auto"/>
                          </w:divBdr>
                        </w:div>
                        <w:div w:id="110710091">
                          <w:marLeft w:val="0"/>
                          <w:marRight w:val="0"/>
                          <w:marTop w:val="0"/>
                          <w:marBottom w:val="0"/>
                          <w:divBdr>
                            <w:top w:val="none" w:sz="0" w:space="0" w:color="auto"/>
                            <w:left w:val="none" w:sz="0" w:space="0" w:color="auto"/>
                            <w:bottom w:val="none" w:sz="0" w:space="0" w:color="auto"/>
                            <w:right w:val="none" w:sz="0" w:space="0" w:color="auto"/>
                          </w:divBdr>
                          <w:divsChild>
                            <w:div w:id="552738631">
                              <w:marLeft w:val="0"/>
                              <w:marRight w:val="0"/>
                              <w:marTop w:val="0"/>
                              <w:marBottom w:val="0"/>
                              <w:divBdr>
                                <w:top w:val="none" w:sz="0" w:space="0" w:color="auto"/>
                                <w:left w:val="none" w:sz="0" w:space="0" w:color="auto"/>
                                <w:bottom w:val="none" w:sz="0" w:space="0" w:color="auto"/>
                                <w:right w:val="none" w:sz="0" w:space="0" w:color="auto"/>
                              </w:divBdr>
                              <w:divsChild>
                                <w:div w:id="1811828319">
                                  <w:marLeft w:val="0"/>
                                  <w:marRight w:val="0"/>
                                  <w:marTop w:val="0"/>
                                  <w:marBottom w:val="0"/>
                                  <w:divBdr>
                                    <w:top w:val="none" w:sz="0" w:space="0" w:color="auto"/>
                                    <w:left w:val="none" w:sz="0" w:space="0" w:color="auto"/>
                                    <w:bottom w:val="none" w:sz="0" w:space="0" w:color="auto"/>
                                    <w:right w:val="none" w:sz="0" w:space="0" w:color="auto"/>
                                  </w:divBdr>
                                  <w:divsChild>
                                    <w:div w:id="6235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186">
              <w:marLeft w:val="0"/>
              <w:marRight w:val="0"/>
              <w:marTop w:val="0"/>
              <w:marBottom w:val="288"/>
              <w:divBdr>
                <w:top w:val="none" w:sz="0" w:space="0" w:color="auto"/>
                <w:left w:val="none" w:sz="0" w:space="0" w:color="auto"/>
                <w:bottom w:val="none" w:sz="0" w:space="0" w:color="auto"/>
                <w:right w:val="none" w:sz="0" w:space="0" w:color="auto"/>
              </w:divBdr>
              <w:divsChild>
                <w:div w:id="313919918">
                  <w:marLeft w:val="0"/>
                  <w:marRight w:val="0"/>
                  <w:marTop w:val="0"/>
                  <w:marBottom w:val="0"/>
                  <w:divBdr>
                    <w:top w:val="none" w:sz="0" w:space="0" w:color="auto"/>
                    <w:left w:val="none" w:sz="0" w:space="0" w:color="auto"/>
                    <w:bottom w:val="none" w:sz="0" w:space="0" w:color="auto"/>
                    <w:right w:val="none" w:sz="0" w:space="0" w:color="auto"/>
                  </w:divBdr>
                </w:div>
                <w:div w:id="1478646215">
                  <w:marLeft w:val="0"/>
                  <w:marRight w:val="0"/>
                  <w:marTop w:val="0"/>
                  <w:marBottom w:val="0"/>
                  <w:divBdr>
                    <w:top w:val="none" w:sz="0" w:space="0" w:color="auto"/>
                    <w:left w:val="none" w:sz="0" w:space="0" w:color="auto"/>
                    <w:bottom w:val="none" w:sz="0" w:space="0" w:color="auto"/>
                    <w:right w:val="none" w:sz="0" w:space="0" w:color="auto"/>
                  </w:divBdr>
                </w:div>
                <w:div w:id="9932931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574750765">
      <w:bodyDiv w:val="1"/>
      <w:marLeft w:val="0"/>
      <w:marRight w:val="0"/>
      <w:marTop w:val="0"/>
      <w:marBottom w:val="0"/>
      <w:divBdr>
        <w:top w:val="none" w:sz="0" w:space="0" w:color="auto"/>
        <w:left w:val="none" w:sz="0" w:space="0" w:color="auto"/>
        <w:bottom w:val="none" w:sz="0" w:space="0" w:color="auto"/>
        <w:right w:val="none" w:sz="0" w:space="0" w:color="auto"/>
      </w:divBdr>
    </w:div>
    <w:div w:id="814834833">
      <w:bodyDiv w:val="1"/>
      <w:marLeft w:val="0"/>
      <w:marRight w:val="0"/>
      <w:marTop w:val="0"/>
      <w:marBottom w:val="0"/>
      <w:divBdr>
        <w:top w:val="none" w:sz="0" w:space="0" w:color="auto"/>
        <w:left w:val="none" w:sz="0" w:space="0" w:color="auto"/>
        <w:bottom w:val="none" w:sz="0" w:space="0" w:color="auto"/>
        <w:right w:val="none" w:sz="0" w:space="0" w:color="auto"/>
      </w:divBdr>
    </w:div>
    <w:div w:id="1838884276">
      <w:bodyDiv w:val="1"/>
      <w:marLeft w:val="0"/>
      <w:marRight w:val="0"/>
      <w:marTop w:val="0"/>
      <w:marBottom w:val="0"/>
      <w:divBdr>
        <w:top w:val="none" w:sz="0" w:space="0" w:color="auto"/>
        <w:left w:val="none" w:sz="0" w:space="0" w:color="auto"/>
        <w:bottom w:val="none" w:sz="0" w:space="0" w:color="auto"/>
        <w:right w:val="none" w:sz="0" w:space="0" w:color="auto"/>
      </w:divBdr>
    </w:div>
    <w:div w:id="19217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bane.qld.gov.au" TargetMode="Externa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sr.qld.gov.a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omMc\My%20Documents\INALA%20PROJECT\Inala%20project%20data(destin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NALA%20PROJECT\OESR%20comparis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CC%20Data%20Inal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CC%20Data%20Inal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CC%20Data%20Inal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NAPLAN%20data%20Inal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TomMc\My%20Documents\INALA%20PROJECT\NAPLAN%20data%20Inal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TomMc\My%20Documents\INALA%20PROJECT\NAPLAN%20data%20Ina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bar3DChart>
        <c:barDir val="col"/>
        <c:grouping val="clustered"/>
        <c:ser>
          <c:idx val="0"/>
          <c:order val="0"/>
          <c:tx>
            <c:strRef>
              <c:f>Sheet1!$C$4</c:f>
              <c:strCache>
                <c:ptCount val="1"/>
                <c:pt idx="0">
                  <c:v>Glenala</c:v>
                </c:pt>
              </c:strCache>
            </c:strRef>
          </c:tx>
          <c:cat>
            <c:strRef>
              <c:f>Sheet1!$A$5:$B$10</c:f>
              <c:strCache>
                <c:ptCount val="6"/>
                <c:pt idx="0">
                  <c:v>University</c:v>
                </c:pt>
                <c:pt idx="1">
                  <c:v>Cert IV</c:v>
                </c:pt>
                <c:pt idx="2">
                  <c:v>Cert III</c:v>
                </c:pt>
                <c:pt idx="3">
                  <c:v>App/Ship-Tr/ship</c:v>
                </c:pt>
                <c:pt idx="4">
                  <c:v>Work</c:v>
                </c:pt>
                <c:pt idx="5">
                  <c:v>Seeking work</c:v>
                </c:pt>
              </c:strCache>
            </c:strRef>
          </c:cat>
          <c:val>
            <c:numRef>
              <c:f>Sheet1!$C$5:$C$10</c:f>
              <c:numCache>
                <c:formatCode>General</c:formatCode>
                <c:ptCount val="6"/>
                <c:pt idx="0">
                  <c:v>16.7</c:v>
                </c:pt>
                <c:pt idx="1">
                  <c:v>2.1</c:v>
                </c:pt>
                <c:pt idx="2">
                  <c:v>2.1</c:v>
                </c:pt>
                <c:pt idx="3">
                  <c:v>2.1</c:v>
                </c:pt>
                <c:pt idx="4">
                  <c:v>43.7</c:v>
                </c:pt>
                <c:pt idx="5">
                  <c:v>25</c:v>
                </c:pt>
              </c:numCache>
            </c:numRef>
          </c:val>
        </c:ser>
        <c:ser>
          <c:idx val="1"/>
          <c:order val="1"/>
          <c:tx>
            <c:strRef>
              <c:f>Sheet1!$D$4</c:f>
              <c:strCache>
                <c:ptCount val="1"/>
                <c:pt idx="0">
                  <c:v>Centenary SHS</c:v>
                </c:pt>
              </c:strCache>
            </c:strRef>
          </c:tx>
          <c:cat>
            <c:strRef>
              <c:f>Sheet1!$A$5:$B$10</c:f>
              <c:strCache>
                <c:ptCount val="6"/>
                <c:pt idx="0">
                  <c:v>University</c:v>
                </c:pt>
                <c:pt idx="1">
                  <c:v>Cert IV</c:v>
                </c:pt>
                <c:pt idx="2">
                  <c:v>Cert III</c:v>
                </c:pt>
                <c:pt idx="3">
                  <c:v>App/Ship-Tr/ship</c:v>
                </c:pt>
                <c:pt idx="4">
                  <c:v>Work</c:v>
                </c:pt>
                <c:pt idx="5">
                  <c:v>Seeking work</c:v>
                </c:pt>
              </c:strCache>
            </c:strRef>
          </c:cat>
          <c:val>
            <c:numRef>
              <c:f>Sheet1!$D$5:$D$10</c:f>
              <c:numCache>
                <c:formatCode>General</c:formatCode>
                <c:ptCount val="6"/>
                <c:pt idx="0">
                  <c:v>46.3</c:v>
                </c:pt>
                <c:pt idx="1">
                  <c:v>9.1</c:v>
                </c:pt>
                <c:pt idx="2">
                  <c:v>0.60000000000000031</c:v>
                </c:pt>
                <c:pt idx="3">
                  <c:v>8.5</c:v>
                </c:pt>
                <c:pt idx="4">
                  <c:v>24.4</c:v>
                </c:pt>
                <c:pt idx="5">
                  <c:v>7.3</c:v>
                </c:pt>
              </c:numCache>
            </c:numRef>
          </c:val>
        </c:ser>
        <c:ser>
          <c:idx val="2"/>
          <c:order val="2"/>
          <c:tx>
            <c:strRef>
              <c:f>Sheet1!$E$4</c:f>
              <c:strCache>
                <c:ptCount val="1"/>
                <c:pt idx="0">
                  <c:v>Forest Lake SHS</c:v>
                </c:pt>
              </c:strCache>
            </c:strRef>
          </c:tx>
          <c:cat>
            <c:strRef>
              <c:f>Sheet1!$A$5:$B$10</c:f>
              <c:strCache>
                <c:ptCount val="6"/>
                <c:pt idx="0">
                  <c:v>University</c:v>
                </c:pt>
                <c:pt idx="1">
                  <c:v>Cert IV</c:v>
                </c:pt>
                <c:pt idx="2">
                  <c:v>Cert III</c:v>
                </c:pt>
                <c:pt idx="3">
                  <c:v>App/Ship-Tr/ship</c:v>
                </c:pt>
                <c:pt idx="4">
                  <c:v>Work</c:v>
                </c:pt>
                <c:pt idx="5">
                  <c:v>Seeking work</c:v>
                </c:pt>
              </c:strCache>
            </c:strRef>
          </c:cat>
          <c:val>
            <c:numRef>
              <c:f>Sheet1!$E$5:$E$10</c:f>
              <c:numCache>
                <c:formatCode>General</c:formatCode>
                <c:ptCount val="6"/>
                <c:pt idx="0">
                  <c:v>28.6</c:v>
                </c:pt>
                <c:pt idx="1">
                  <c:v>14.8</c:v>
                </c:pt>
                <c:pt idx="2">
                  <c:v>3.8</c:v>
                </c:pt>
                <c:pt idx="3">
                  <c:v>7.7</c:v>
                </c:pt>
                <c:pt idx="4">
                  <c:v>28</c:v>
                </c:pt>
                <c:pt idx="5">
                  <c:v>12.1</c:v>
                </c:pt>
              </c:numCache>
            </c:numRef>
          </c:val>
        </c:ser>
        <c:ser>
          <c:idx val="3"/>
          <c:order val="3"/>
          <c:tx>
            <c:strRef>
              <c:f>Sheet1!$F$4</c:f>
              <c:strCache>
                <c:ptCount val="1"/>
                <c:pt idx="0">
                  <c:v>QLD mean</c:v>
                </c:pt>
              </c:strCache>
            </c:strRef>
          </c:tx>
          <c:cat>
            <c:strRef>
              <c:f>Sheet1!$A$5:$B$10</c:f>
              <c:strCache>
                <c:ptCount val="6"/>
                <c:pt idx="0">
                  <c:v>University</c:v>
                </c:pt>
                <c:pt idx="1">
                  <c:v>Cert IV</c:v>
                </c:pt>
                <c:pt idx="2">
                  <c:v>Cert III</c:v>
                </c:pt>
                <c:pt idx="3">
                  <c:v>App/Ship-Tr/ship</c:v>
                </c:pt>
                <c:pt idx="4">
                  <c:v>Work</c:v>
                </c:pt>
                <c:pt idx="5">
                  <c:v>Seeking work</c:v>
                </c:pt>
              </c:strCache>
            </c:strRef>
          </c:cat>
          <c:val>
            <c:numRef>
              <c:f>Sheet1!$F$5:$F$10</c:f>
              <c:numCache>
                <c:formatCode>General</c:formatCode>
                <c:ptCount val="6"/>
                <c:pt idx="0">
                  <c:v>35.1</c:v>
                </c:pt>
                <c:pt idx="1">
                  <c:v>6.7</c:v>
                </c:pt>
                <c:pt idx="2">
                  <c:v>2.4</c:v>
                </c:pt>
                <c:pt idx="3">
                  <c:v>11.7</c:v>
                </c:pt>
                <c:pt idx="4">
                  <c:v>30.3</c:v>
                </c:pt>
                <c:pt idx="5">
                  <c:v>8.1</c:v>
                </c:pt>
              </c:numCache>
            </c:numRef>
          </c:val>
        </c:ser>
        <c:shape val="pyramid"/>
        <c:axId val="55810304"/>
        <c:axId val="55836672"/>
        <c:axId val="0"/>
      </c:bar3DChart>
      <c:catAx>
        <c:axId val="55810304"/>
        <c:scaling>
          <c:orientation val="minMax"/>
        </c:scaling>
        <c:axPos val="b"/>
        <c:tickLblPos val="nextTo"/>
        <c:crossAx val="55836672"/>
        <c:crosses val="autoZero"/>
        <c:auto val="1"/>
        <c:lblAlgn val="ctr"/>
        <c:lblOffset val="100"/>
      </c:catAx>
      <c:valAx>
        <c:axId val="55836672"/>
        <c:scaling>
          <c:orientation val="minMax"/>
        </c:scaling>
        <c:axPos val="l"/>
        <c:majorGridlines/>
        <c:numFmt formatCode="General" sourceLinked="1"/>
        <c:tickLblPos val="nextTo"/>
        <c:crossAx val="5581030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manualLayout>
          <c:layoutTarget val="inner"/>
          <c:xMode val="edge"/>
          <c:yMode val="edge"/>
          <c:x val="7.4238769286787118E-2"/>
          <c:y val="2.4144489357227929E-2"/>
          <c:w val="0.67345000227572827"/>
          <c:h val="0.52137573307787666"/>
        </c:manualLayout>
      </c:layout>
      <c:bar3DChart>
        <c:barDir val="col"/>
        <c:grouping val="clustered"/>
        <c:ser>
          <c:idx val="0"/>
          <c:order val="0"/>
          <c:tx>
            <c:strRef>
              <c:f>Sheet1!$L$2</c:f>
              <c:strCache>
                <c:ptCount val="1"/>
                <c:pt idx="0">
                  <c:v>INALA</c:v>
                </c:pt>
              </c:strCache>
            </c:strRef>
          </c:tx>
          <c:cat>
            <c:strRef>
              <c:f>Sheet1!$K$3:$K$20</c:f>
              <c:strCache>
                <c:ptCount val="18"/>
                <c:pt idx="0">
                  <c:v>Indigenous pop'n</c:v>
                </c:pt>
                <c:pt idx="1">
                  <c:v>Migrants last 12 months</c:v>
                </c:pt>
                <c:pt idx="2">
                  <c:v>Migrants last 5 yrs</c:v>
                </c:pt>
                <c:pt idx="3">
                  <c:v>No spoken Eng</c:v>
                </c:pt>
                <c:pt idx="4">
                  <c:v>One parent families</c:v>
                </c:pt>
                <c:pt idx="5">
                  <c:v>Complete yr 11&amp;12 high sch</c:v>
                </c:pt>
                <c:pt idx="6">
                  <c:v>Post school qualif</c:v>
                </c:pt>
                <c:pt idx="7">
                  <c:v>Unemployment rate</c:v>
                </c:pt>
                <c:pt idx="8">
                  <c:v>SEIFA Lowest</c:v>
                </c:pt>
                <c:pt idx="9">
                  <c:v>SEIFA Highest</c:v>
                </c:pt>
                <c:pt idx="10">
                  <c:v>Need for assistance</c:v>
                </c:pt>
                <c:pt idx="11">
                  <c:v>Gross indiv income-lowest</c:v>
                </c:pt>
                <c:pt idx="12">
                  <c:v>Gross indiv income-highest</c:v>
                </c:pt>
                <c:pt idx="13">
                  <c:v>Internet connection</c:v>
                </c:pt>
                <c:pt idx="14">
                  <c:v>% Retail workers</c:v>
                </c:pt>
                <c:pt idx="15">
                  <c:v>%manufacturing workers</c:v>
                </c:pt>
                <c:pt idx="16">
                  <c:v>% Professional workers</c:v>
                </c:pt>
                <c:pt idx="17">
                  <c:v>% Clerical workers</c:v>
                </c:pt>
              </c:strCache>
            </c:strRef>
          </c:cat>
          <c:val>
            <c:numRef>
              <c:f>Sheet1!$L$3:$L$20</c:f>
              <c:numCache>
                <c:formatCode>General</c:formatCode>
                <c:ptCount val="18"/>
                <c:pt idx="0">
                  <c:v>7.3</c:v>
                </c:pt>
                <c:pt idx="1">
                  <c:v>14</c:v>
                </c:pt>
                <c:pt idx="2">
                  <c:v>35.300000000000004</c:v>
                </c:pt>
                <c:pt idx="3">
                  <c:v>28.4</c:v>
                </c:pt>
                <c:pt idx="4">
                  <c:v>34.200000000000003</c:v>
                </c:pt>
                <c:pt idx="5">
                  <c:v>37</c:v>
                </c:pt>
                <c:pt idx="6">
                  <c:v>33.9</c:v>
                </c:pt>
                <c:pt idx="7">
                  <c:v>15.5</c:v>
                </c:pt>
                <c:pt idx="8">
                  <c:v>100</c:v>
                </c:pt>
                <c:pt idx="9">
                  <c:v>0</c:v>
                </c:pt>
                <c:pt idx="10">
                  <c:v>6</c:v>
                </c:pt>
                <c:pt idx="11">
                  <c:v>54.6</c:v>
                </c:pt>
                <c:pt idx="12">
                  <c:v>0.30000000000000032</c:v>
                </c:pt>
                <c:pt idx="13">
                  <c:v>37.9</c:v>
                </c:pt>
                <c:pt idx="14">
                  <c:v>10</c:v>
                </c:pt>
                <c:pt idx="15">
                  <c:v>25.8</c:v>
                </c:pt>
                <c:pt idx="16">
                  <c:v>6.5</c:v>
                </c:pt>
                <c:pt idx="17">
                  <c:v>14.8</c:v>
                </c:pt>
              </c:numCache>
            </c:numRef>
          </c:val>
        </c:ser>
        <c:ser>
          <c:idx val="1"/>
          <c:order val="1"/>
          <c:tx>
            <c:strRef>
              <c:f>Sheet1!$M$2</c:f>
              <c:strCache>
                <c:ptCount val="1"/>
                <c:pt idx="0">
                  <c:v>Forest Lake/ Algester</c:v>
                </c:pt>
              </c:strCache>
            </c:strRef>
          </c:tx>
          <c:cat>
            <c:strRef>
              <c:f>Sheet1!$K$3:$K$20</c:f>
              <c:strCache>
                <c:ptCount val="18"/>
                <c:pt idx="0">
                  <c:v>Indigenous pop'n</c:v>
                </c:pt>
                <c:pt idx="1">
                  <c:v>Migrants last 12 months</c:v>
                </c:pt>
                <c:pt idx="2">
                  <c:v>Migrants last 5 yrs</c:v>
                </c:pt>
                <c:pt idx="3">
                  <c:v>No spoken Eng</c:v>
                </c:pt>
                <c:pt idx="4">
                  <c:v>One parent families</c:v>
                </c:pt>
                <c:pt idx="5">
                  <c:v>Complete yr 11&amp;12 high sch</c:v>
                </c:pt>
                <c:pt idx="6">
                  <c:v>Post school qualif</c:v>
                </c:pt>
                <c:pt idx="7">
                  <c:v>Unemployment rate</c:v>
                </c:pt>
                <c:pt idx="8">
                  <c:v>SEIFA Lowest</c:v>
                </c:pt>
                <c:pt idx="9">
                  <c:v>SEIFA Highest</c:v>
                </c:pt>
                <c:pt idx="10">
                  <c:v>Need for assistance</c:v>
                </c:pt>
                <c:pt idx="11">
                  <c:v>Gross indiv income-lowest</c:v>
                </c:pt>
                <c:pt idx="12">
                  <c:v>Gross indiv income-highest</c:v>
                </c:pt>
                <c:pt idx="13">
                  <c:v>Internet connection</c:v>
                </c:pt>
                <c:pt idx="14">
                  <c:v>% Retail workers</c:v>
                </c:pt>
                <c:pt idx="15">
                  <c:v>%manufacturing workers</c:v>
                </c:pt>
                <c:pt idx="16">
                  <c:v>% Professional workers</c:v>
                </c:pt>
                <c:pt idx="17">
                  <c:v>% Clerical workers</c:v>
                </c:pt>
              </c:strCache>
            </c:strRef>
          </c:cat>
          <c:val>
            <c:numRef>
              <c:f>Sheet1!$M$3:$M$20</c:f>
              <c:numCache>
                <c:formatCode>General</c:formatCode>
                <c:ptCount val="18"/>
                <c:pt idx="0">
                  <c:v>1.4</c:v>
                </c:pt>
                <c:pt idx="1">
                  <c:v>21.6</c:v>
                </c:pt>
                <c:pt idx="2">
                  <c:v>56.8</c:v>
                </c:pt>
                <c:pt idx="3">
                  <c:v>8.6</c:v>
                </c:pt>
                <c:pt idx="4">
                  <c:v>17.3</c:v>
                </c:pt>
                <c:pt idx="5">
                  <c:v>58.7</c:v>
                </c:pt>
                <c:pt idx="6">
                  <c:v>49</c:v>
                </c:pt>
                <c:pt idx="7">
                  <c:v>4.4000000000000004</c:v>
                </c:pt>
                <c:pt idx="8">
                  <c:v>1.8</c:v>
                </c:pt>
                <c:pt idx="9">
                  <c:v>6.3</c:v>
                </c:pt>
                <c:pt idx="10">
                  <c:v>2.8</c:v>
                </c:pt>
                <c:pt idx="11">
                  <c:v>34</c:v>
                </c:pt>
                <c:pt idx="12">
                  <c:v>2</c:v>
                </c:pt>
                <c:pt idx="13">
                  <c:v>73.5</c:v>
                </c:pt>
                <c:pt idx="14">
                  <c:v>11.5</c:v>
                </c:pt>
                <c:pt idx="15">
                  <c:v>14.7</c:v>
                </c:pt>
                <c:pt idx="16">
                  <c:v>16.3</c:v>
                </c:pt>
                <c:pt idx="17">
                  <c:v>18.8</c:v>
                </c:pt>
              </c:numCache>
            </c:numRef>
          </c:val>
        </c:ser>
        <c:ser>
          <c:idx val="2"/>
          <c:order val="2"/>
          <c:tx>
            <c:strRef>
              <c:f>Sheet1!$N$2</c:f>
              <c:strCache>
                <c:ptCount val="1"/>
                <c:pt idx="0">
                  <c:v>QLD</c:v>
                </c:pt>
              </c:strCache>
            </c:strRef>
          </c:tx>
          <c:cat>
            <c:strRef>
              <c:f>Sheet1!$K$3:$K$20</c:f>
              <c:strCache>
                <c:ptCount val="18"/>
                <c:pt idx="0">
                  <c:v>Indigenous pop'n</c:v>
                </c:pt>
                <c:pt idx="1">
                  <c:v>Migrants last 12 months</c:v>
                </c:pt>
                <c:pt idx="2">
                  <c:v>Migrants last 5 yrs</c:v>
                </c:pt>
                <c:pt idx="3">
                  <c:v>No spoken Eng</c:v>
                </c:pt>
                <c:pt idx="4">
                  <c:v>One parent families</c:v>
                </c:pt>
                <c:pt idx="5">
                  <c:v>Complete yr 11&amp;12 high sch</c:v>
                </c:pt>
                <c:pt idx="6">
                  <c:v>Post school qualif</c:v>
                </c:pt>
                <c:pt idx="7">
                  <c:v>Unemployment rate</c:v>
                </c:pt>
                <c:pt idx="8">
                  <c:v>SEIFA Lowest</c:v>
                </c:pt>
                <c:pt idx="9">
                  <c:v>SEIFA Highest</c:v>
                </c:pt>
                <c:pt idx="10">
                  <c:v>Need for assistance</c:v>
                </c:pt>
                <c:pt idx="11">
                  <c:v>Gross indiv income-lowest</c:v>
                </c:pt>
                <c:pt idx="12">
                  <c:v>Gross indiv income-highest</c:v>
                </c:pt>
                <c:pt idx="13">
                  <c:v>Internet connection</c:v>
                </c:pt>
                <c:pt idx="14">
                  <c:v>% Retail workers</c:v>
                </c:pt>
                <c:pt idx="15">
                  <c:v>%manufacturing workers</c:v>
                </c:pt>
                <c:pt idx="16">
                  <c:v>% Professional workers</c:v>
                </c:pt>
                <c:pt idx="17">
                  <c:v>% Clerical workers</c:v>
                </c:pt>
              </c:strCache>
            </c:strRef>
          </c:cat>
          <c:val>
            <c:numRef>
              <c:f>Sheet1!$N$3:$N$20</c:f>
              <c:numCache>
                <c:formatCode>General</c:formatCode>
                <c:ptCount val="18"/>
                <c:pt idx="0">
                  <c:v>3.3</c:v>
                </c:pt>
                <c:pt idx="1">
                  <c:v>19.7</c:v>
                </c:pt>
                <c:pt idx="2">
                  <c:v>47.6</c:v>
                </c:pt>
                <c:pt idx="3">
                  <c:v>5.0999999999999996</c:v>
                </c:pt>
                <c:pt idx="4">
                  <c:v>15.9</c:v>
                </c:pt>
                <c:pt idx="5">
                  <c:v>49.5</c:v>
                </c:pt>
                <c:pt idx="6">
                  <c:v>50.4</c:v>
                </c:pt>
                <c:pt idx="7">
                  <c:v>4.9000000000000004</c:v>
                </c:pt>
                <c:pt idx="8">
                  <c:v>20</c:v>
                </c:pt>
                <c:pt idx="9">
                  <c:v>20</c:v>
                </c:pt>
                <c:pt idx="10">
                  <c:v>4</c:v>
                </c:pt>
                <c:pt idx="11">
                  <c:v>39.700000000000003</c:v>
                </c:pt>
                <c:pt idx="12">
                  <c:v>2.9</c:v>
                </c:pt>
                <c:pt idx="13">
                  <c:v>62.8</c:v>
                </c:pt>
                <c:pt idx="14">
                  <c:v>11.6</c:v>
                </c:pt>
                <c:pt idx="15">
                  <c:v>9</c:v>
                </c:pt>
                <c:pt idx="16">
                  <c:v>17.100000000000001</c:v>
                </c:pt>
                <c:pt idx="17">
                  <c:v>14.8</c:v>
                </c:pt>
              </c:numCache>
            </c:numRef>
          </c:val>
        </c:ser>
        <c:shape val="pyramid"/>
        <c:axId val="55862784"/>
        <c:axId val="55864320"/>
        <c:axId val="0"/>
      </c:bar3DChart>
      <c:catAx>
        <c:axId val="55862784"/>
        <c:scaling>
          <c:orientation val="minMax"/>
        </c:scaling>
        <c:axPos val="b"/>
        <c:tickLblPos val="nextTo"/>
        <c:crossAx val="55864320"/>
        <c:crosses val="autoZero"/>
        <c:auto val="1"/>
        <c:lblAlgn val="ctr"/>
        <c:lblOffset val="100"/>
      </c:catAx>
      <c:valAx>
        <c:axId val="55864320"/>
        <c:scaling>
          <c:orientation val="minMax"/>
        </c:scaling>
        <c:axPos val="l"/>
        <c:majorGridlines/>
        <c:numFmt formatCode="General" sourceLinked="1"/>
        <c:tickLblPos val="nextTo"/>
        <c:crossAx val="55862784"/>
        <c:crosses val="autoZero"/>
        <c:crossBetween val="between"/>
      </c:valAx>
    </c:plotArea>
    <c:legend>
      <c:legendPos val="r"/>
      <c:layout>
        <c:manualLayout>
          <c:xMode val="edge"/>
          <c:yMode val="edge"/>
          <c:x val="0.8142104111986006"/>
          <c:y val="0.39268300661230432"/>
          <c:w val="0.17296907598088698"/>
          <c:h val="0.3649801786646121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bar3DChart>
        <c:barDir val="col"/>
        <c:grouping val="clustered"/>
        <c:ser>
          <c:idx val="0"/>
          <c:order val="0"/>
          <c:tx>
            <c:strRef>
              <c:f>Sheet1!$B$3</c:f>
              <c:strCache>
                <c:ptCount val="1"/>
                <c:pt idx="0">
                  <c:v>Inala</c:v>
                </c:pt>
              </c:strCache>
            </c:strRef>
          </c:tx>
          <c:cat>
            <c:strRef>
              <c:f>Sheet1!$A$4:$A$7</c:f>
              <c:strCache>
                <c:ptCount val="4"/>
                <c:pt idx="0">
                  <c:v>No English</c:v>
                </c:pt>
                <c:pt idx="1">
                  <c:v>Vietnamese</c:v>
                </c:pt>
                <c:pt idx="2">
                  <c:v>Samoan</c:v>
                </c:pt>
                <c:pt idx="3">
                  <c:v>Only English</c:v>
                </c:pt>
              </c:strCache>
            </c:strRef>
          </c:cat>
          <c:val>
            <c:numRef>
              <c:f>Sheet1!$B$4:$B$7</c:f>
              <c:numCache>
                <c:formatCode>General</c:formatCode>
                <c:ptCount val="4"/>
                <c:pt idx="0">
                  <c:v>28.5</c:v>
                </c:pt>
                <c:pt idx="1">
                  <c:v>14.3</c:v>
                </c:pt>
                <c:pt idx="2">
                  <c:v>2.2999999999999998</c:v>
                </c:pt>
                <c:pt idx="3">
                  <c:v>26.9</c:v>
                </c:pt>
              </c:numCache>
            </c:numRef>
          </c:val>
        </c:ser>
        <c:ser>
          <c:idx val="1"/>
          <c:order val="1"/>
          <c:tx>
            <c:strRef>
              <c:f>Sheet1!$C$3</c:f>
              <c:strCache>
                <c:ptCount val="1"/>
                <c:pt idx="0">
                  <c:v>Durack</c:v>
                </c:pt>
              </c:strCache>
            </c:strRef>
          </c:tx>
          <c:cat>
            <c:strRef>
              <c:f>Sheet1!$A$4:$A$7</c:f>
              <c:strCache>
                <c:ptCount val="4"/>
                <c:pt idx="0">
                  <c:v>No English</c:v>
                </c:pt>
                <c:pt idx="1">
                  <c:v>Vietnamese</c:v>
                </c:pt>
                <c:pt idx="2">
                  <c:v>Samoan</c:v>
                </c:pt>
                <c:pt idx="3">
                  <c:v>Only English</c:v>
                </c:pt>
              </c:strCache>
            </c:strRef>
          </c:cat>
          <c:val>
            <c:numRef>
              <c:f>Sheet1!$C$4:$C$7</c:f>
              <c:numCache>
                <c:formatCode>General</c:formatCode>
                <c:ptCount val="4"/>
                <c:pt idx="0">
                  <c:v>25.4</c:v>
                </c:pt>
                <c:pt idx="1">
                  <c:v>14.3</c:v>
                </c:pt>
                <c:pt idx="2">
                  <c:v>1</c:v>
                </c:pt>
                <c:pt idx="3">
                  <c:v>29.7</c:v>
                </c:pt>
              </c:numCache>
            </c:numRef>
          </c:val>
        </c:ser>
        <c:ser>
          <c:idx val="2"/>
          <c:order val="2"/>
          <c:tx>
            <c:strRef>
              <c:f>Sheet1!$D$3</c:f>
              <c:strCache>
                <c:ptCount val="1"/>
                <c:pt idx="0">
                  <c:v>SEQ</c:v>
                </c:pt>
              </c:strCache>
            </c:strRef>
          </c:tx>
          <c:cat>
            <c:strRef>
              <c:f>Sheet1!$A$4:$A$7</c:f>
              <c:strCache>
                <c:ptCount val="4"/>
                <c:pt idx="0">
                  <c:v>No English</c:v>
                </c:pt>
                <c:pt idx="1">
                  <c:v>Vietnamese</c:v>
                </c:pt>
                <c:pt idx="2">
                  <c:v>Samoan</c:v>
                </c:pt>
                <c:pt idx="3">
                  <c:v>Only English</c:v>
                </c:pt>
              </c:strCache>
            </c:strRef>
          </c:cat>
          <c:val>
            <c:numRef>
              <c:f>Sheet1!$D$4:$D$7</c:f>
              <c:numCache>
                <c:formatCode>General</c:formatCode>
                <c:ptCount val="4"/>
                <c:pt idx="0">
                  <c:v>5.5</c:v>
                </c:pt>
                <c:pt idx="1">
                  <c:v>0.5</c:v>
                </c:pt>
                <c:pt idx="2">
                  <c:v>0.2</c:v>
                </c:pt>
                <c:pt idx="3">
                  <c:v>66.599999999999994</c:v>
                </c:pt>
              </c:numCache>
            </c:numRef>
          </c:val>
        </c:ser>
        <c:shape val="pyramid"/>
        <c:axId val="59244928"/>
        <c:axId val="59246464"/>
        <c:axId val="0"/>
      </c:bar3DChart>
      <c:catAx>
        <c:axId val="59244928"/>
        <c:scaling>
          <c:orientation val="minMax"/>
        </c:scaling>
        <c:axPos val="b"/>
        <c:tickLblPos val="nextTo"/>
        <c:crossAx val="59246464"/>
        <c:crosses val="autoZero"/>
        <c:auto val="1"/>
        <c:lblAlgn val="ctr"/>
        <c:lblOffset val="100"/>
      </c:catAx>
      <c:valAx>
        <c:axId val="59246464"/>
        <c:scaling>
          <c:orientation val="minMax"/>
        </c:scaling>
        <c:axPos val="l"/>
        <c:majorGridlines/>
        <c:numFmt formatCode="General" sourceLinked="1"/>
        <c:tickLblPos val="nextTo"/>
        <c:crossAx val="592449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AU"/>
  <c:chart>
    <c:view3D>
      <c:rAngAx val="1"/>
    </c:view3D>
    <c:plotArea>
      <c:layout>
        <c:manualLayout>
          <c:layoutTarget val="inner"/>
          <c:xMode val="edge"/>
          <c:yMode val="edge"/>
          <c:x val="6.229369306777837E-2"/>
          <c:y val="0.10681605097870241"/>
          <c:w val="0.68972962019453565"/>
          <c:h val="0.71088964625690465"/>
        </c:manualLayout>
      </c:layout>
      <c:bar3DChart>
        <c:barDir val="col"/>
        <c:grouping val="clustered"/>
        <c:ser>
          <c:idx val="0"/>
          <c:order val="0"/>
          <c:tx>
            <c:strRef>
              <c:f>Sheet1!$A$11</c:f>
              <c:strCache>
                <c:ptCount val="1"/>
                <c:pt idx="0">
                  <c:v>Renting private</c:v>
                </c:pt>
              </c:strCache>
            </c:strRef>
          </c:tx>
          <c:cat>
            <c:strRef>
              <c:f>Sheet1!$B$10:$D$10</c:f>
              <c:strCache>
                <c:ptCount val="3"/>
                <c:pt idx="0">
                  <c:v>Inala</c:v>
                </c:pt>
                <c:pt idx="1">
                  <c:v>Durack</c:v>
                </c:pt>
                <c:pt idx="2">
                  <c:v>SEQ</c:v>
                </c:pt>
              </c:strCache>
            </c:strRef>
          </c:cat>
          <c:val>
            <c:numRef>
              <c:f>Sheet1!$B$11:$D$11</c:f>
              <c:numCache>
                <c:formatCode>General</c:formatCode>
                <c:ptCount val="3"/>
                <c:pt idx="0">
                  <c:v>16.7</c:v>
                </c:pt>
                <c:pt idx="1">
                  <c:v>17.600000000000001</c:v>
                </c:pt>
                <c:pt idx="2">
                  <c:v>26.2</c:v>
                </c:pt>
              </c:numCache>
            </c:numRef>
          </c:val>
        </c:ser>
        <c:ser>
          <c:idx val="1"/>
          <c:order val="1"/>
          <c:tx>
            <c:strRef>
              <c:f>Sheet1!$A$12</c:f>
              <c:strCache>
                <c:ptCount val="1"/>
                <c:pt idx="0">
                  <c:v>Renting Gov.</c:v>
                </c:pt>
              </c:strCache>
            </c:strRef>
          </c:tx>
          <c:cat>
            <c:strRef>
              <c:f>Sheet1!$B$10:$D$10</c:f>
              <c:strCache>
                <c:ptCount val="3"/>
                <c:pt idx="0">
                  <c:v>Inala</c:v>
                </c:pt>
                <c:pt idx="1">
                  <c:v>Durack</c:v>
                </c:pt>
                <c:pt idx="2">
                  <c:v>SEQ</c:v>
                </c:pt>
              </c:strCache>
            </c:strRef>
          </c:cat>
          <c:val>
            <c:numRef>
              <c:f>Sheet1!$B$12:$D$12</c:f>
              <c:numCache>
                <c:formatCode>General</c:formatCode>
                <c:ptCount val="3"/>
                <c:pt idx="0">
                  <c:v>31.3</c:v>
                </c:pt>
                <c:pt idx="1">
                  <c:v>4.5999999999999996</c:v>
                </c:pt>
                <c:pt idx="2">
                  <c:v>3.1</c:v>
                </c:pt>
              </c:numCache>
            </c:numRef>
          </c:val>
        </c:ser>
        <c:ser>
          <c:idx val="2"/>
          <c:order val="2"/>
          <c:tx>
            <c:strRef>
              <c:f>Sheet1!$A$13</c:f>
              <c:strCache>
                <c:ptCount val="1"/>
                <c:pt idx="0">
                  <c:v>Total renting</c:v>
                </c:pt>
              </c:strCache>
            </c:strRef>
          </c:tx>
          <c:cat>
            <c:strRef>
              <c:f>Sheet1!$B$10:$D$10</c:f>
              <c:strCache>
                <c:ptCount val="3"/>
                <c:pt idx="0">
                  <c:v>Inala</c:v>
                </c:pt>
                <c:pt idx="1">
                  <c:v>Durack</c:v>
                </c:pt>
                <c:pt idx="2">
                  <c:v>SEQ</c:v>
                </c:pt>
              </c:strCache>
            </c:strRef>
          </c:cat>
          <c:val>
            <c:numRef>
              <c:f>Sheet1!$B$13:$D$13</c:f>
              <c:numCache>
                <c:formatCode>General</c:formatCode>
                <c:ptCount val="3"/>
                <c:pt idx="0">
                  <c:v>48</c:v>
                </c:pt>
                <c:pt idx="1">
                  <c:v>22.2</c:v>
                </c:pt>
                <c:pt idx="2">
                  <c:v>29.3</c:v>
                </c:pt>
              </c:numCache>
            </c:numRef>
          </c:val>
        </c:ser>
        <c:shape val="pyramid"/>
        <c:axId val="59288576"/>
        <c:axId val="59306752"/>
        <c:axId val="0"/>
      </c:bar3DChart>
      <c:catAx>
        <c:axId val="59288576"/>
        <c:scaling>
          <c:orientation val="minMax"/>
        </c:scaling>
        <c:axPos val="b"/>
        <c:tickLblPos val="nextTo"/>
        <c:crossAx val="59306752"/>
        <c:crosses val="autoZero"/>
        <c:auto val="1"/>
        <c:lblAlgn val="ctr"/>
        <c:lblOffset val="100"/>
      </c:catAx>
      <c:valAx>
        <c:axId val="59306752"/>
        <c:scaling>
          <c:orientation val="minMax"/>
        </c:scaling>
        <c:axPos val="l"/>
        <c:majorGridlines/>
        <c:numFmt formatCode="General" sourceLinked="1"/>
        <c:tickLblPos val="nextTo"/>
        <c:crossAx val="5928857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bar3DChart>
        <c:barDir val="col"/>
        <c:grouping val="clustered"/>
        <c:ser>
          <c:idx val="0"/>
          <c:order val="0"/>
          <c:tx>
            <c:strRef>
              <c:f>Sheet1!$A$18</c:f>
              <c:strCache>
                <c:ptCount val="1"/>
                <c:pt idx="0">
                  <c:v>FT Employment</c:v>
                </c:pt>
              </c:strCache>
            </c:strRef>
          </c:tx>
          <c:cat>
            <c:strRef>
              <c:f>Sheet1!$B$17:$D$17</c:f>
              <c:strCache>
                <c:ptCount val="3"/>
                <c:pt idx="0">
                  <c:v>Inala</c:v>
                </c:pt>
                <c:pt idx="1">
                  <c:v>Durack</c:v>
                </c:pt>
                <c:pt idx="2">
                  <c:v>SEQ</c:v>
                </c:pt>
              </c:strCache>
            </c:strRef>
          </c:cat>
          <c:val>
            <c:numRef>
              <c:f>Sheet1!$B$18:$D$18</c:f>
              <c:numCache>
                <c:formatCode>General</c:formatCode>
                <c:ptCount val="3"/>
                <c:pt idx="0">
                  <c:v>56.4</c:v>
                </c:pt>
                <c:pt idx="1">
                  <c:v>60.5</c:v>
                </c:pt>
                <c:pt idx="2">
                  <c:v>60.9</c:v>
                </c:pt>
              </c:numCache>
            </c:numRef>
          </c:val>
        </c:ser>
        <c:ser>
          <c:idx val="1"/>
          <c:order val="1"/>
          <c:tx>
            <c:strRef>
              <c:f>Sheet1!$A$19</c:f>
              <c:strCache>
                <c:ptCount val="1"/>
                <c:pt idx="0">
                  <c:v>Unemployed</c:v>
                </c:pt>
              </c:strCache>
            </c:strRef>
          </c:tx>
          <c:cat>
            <c:strRef>
              <c:f>Sheet1!$B$17:$D$17</c:f>
              <c:strCache>
                <c:ptCount val="3"/>
                <c:pt idx="0">
                  <c:v>Inala</c:v>
                </c:pt>
                <c:pt idx="1">
                  <c:v>Durack</c:v>
                </c:pt>
                <c:pt idx="2">
                  <c:v>SEQ</c:v>
                </c:pt>
              </c:strCache>
            </c:strRef>
          </c:cat>
          <c:val>
            <c:numRef>
              <c:f>Sheet1!$B$19:$D$19</c:f>
              <c:numCache>
                <c:formatCode>General</c:formatCode>
                <c:ptCount val="3"/>
                <c:pt idx="0">
                  <c:v>10.9</c:v>
                </c:pt>
                <c:pt idx="1">
                  <c:v>6.2</c:v>
                </c:pt>
                <c:pt idx="2">
                  <c:v>4.7</c:v>
                </c:pt>
              </c:numCache>
            </c:numRef>
          </c:val>
        </c:ser>
        <c:ser>
          <c:idx val="2"/>
          <c:order val="2"/>
          <c:tx>
            <c:strRef>
              <c:f>Sheet1!$A$20</c:f>
              <c:strCache>
                <c:ptCount val="1"/>
                <c:pt idx="0">
                  <c:v>Work Manufacturing</c:v>
                </c:pt>
              </c:strCache>
            </c:strRef>
          </c:tx>
          <c:cat>
            <c:strRef>
              <c:f>Sheet1!$B$17:$D$17</c:f>
              <c:strCache>
                <c:ptCount val="3"/>
                <c:pt idx="0">
                  <c:v>Inala</c:v>
                </c:pt>
                <c:pt idx="1">
                  <c:v>Durack</c:v>
                </c:pt>
                <c:pt idx="2">
                  <c:v>SEQ</c:v>
                </c:pt>
              </c:strCache>
            </c:strRef>
          </c:cat>
          <c:val>
            <c:numRef>
              <c:f>Sheet1!$B$20:$D$20</c:f>
              <c:numCache>
                <c:formatCode>General</c:formatCode>
                <c:ptCount val="3"/>
                <c:pt idx="0">
                  <c:v>25.8</c:v>
                </c:pt>
                <c:pt idx="1">
                  <c:v>21.3</c:v>
                </c:pt>
                <c:pt idx="2">
                  <c:v>10.4</c:v>
                </c:pt>
              </c:numCache>
            </c:numRef>
          </c:val>
        </c:ser>
        <c:shape val="pyramid"/>
        <c:axId val="59427072"/>
        <c:axId val="56434688"/>
        <c:axId val="0"/>
      </c:bar3DChart>
      <c:catAx>
        <c:axId val="59427072"/>
        <c:scaling>
          <c:orientation val="minMax"/>
        </c:scaling>
        <c:axPos val="b"/>
        <c:tickLblPos val="nextTo"/>
        <c:crossAx val="56434688"/>
        <c:crosses val="autoZero"/>
        <c:auto val="1"/>
        <c:lblAlgn val="ctr"/>
        <c:lblOffset val="100"/>
      </c:catAx>
      <c:valAx>
        <c:axId val="56434688"/>
        <c:scaling>
          <c:orientation val="minMax"/>
        </c:scaling>
        <c:axPos val="l"/>
        <c:majorGridlines/>
        <c:numFmt formatCode="General" sourceLinked="1"/>
        <c:tickLblPos val="nextTo"/>
        <c:crossAx val="59427072"/>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bar3DChart>
        <c:barDir val="col"/>
        <c:grouping val="clustered"/>
        <c:ser>
          <c:idx val="0"/>
          <c:order val="0"/>
          <c:tx>
            <c:strRef>
              <c:f>Sheet1!$B$4</c:f>
              <c:strCache>
                <c:ptCount val="1"/>
                <c:pt idx="0">
                  <c:v>Centenary SHS</c:v>
                </c:pt>
              </c:strCache>
            </c:strRef>
          </c:tx>
          <c:cat>
            <c:strRef>
              <c:f>Sheet1!$C$3:$G$3</c:f>
              <c:strCache>
                <c:ptCount val="5"/>
                <c:pt idx="0">
                  <c:v>Reading 09</c:v>
                </c:pt>
                <c:pt idx="1">
                  <c:v>Writing 09</c:v>
                </c:pt>
                <c:pt idx="2">
                  <c:v>Spelling 09</c:v>
                </c:pt>
                <c:pt idx="3">
                  <c:v>Grammar&amp;Punct. 09</c:v>
                </c:pt>
                <c:pt idx="4">
                  <c:v>Numeracy 09</c:v>
                </c:pt>
              </c:strCache>
            </c:strRef>
          </c:cat>
          <c:val>
            <c:numRef>
              <c:f>Sheet1!$C$4:$G$4</c:f>
              <c:numCache>
                <c:formatCode>General</c:formatCode>
                <c:ptCount val="5"/>
                <c:pt idx="0">
                  <c:v>574</c:v>
                </c:pt>
                <c:pt idx="1">
                  <c:v>582</c:v>
                </c:pt>
                <c:pt idx="2">
                  <c:v>577</c:v>
                </c:pt>
                <c:pt idx="3">
                  <c:v>577</c:v>
                </c:pt>
                <c:pt idx="4">
                  <c:v>586</c:v>
                </c:pt>
              </c:numCache>
            </c:numRef>
          </c:val>
        </c:ser>
        <c:ser>
          <c:idx val="1"/>
          <c:order val="1"/>
          <c:tx>
            <c:strRef>
              <c:f>Sheet1!$B$5</c:f>
              <c:strCache>
                <c:ptCount val="1"/>
                <c:pt idx="0">
                  <c:v>Forest Lake</c:v>
                </c:pt>
              </c:strCache>
            </c:strRef>
          </c:tx>
          <c:cat>
            <c:strRef>
              <c:f>Sheet1!$C$3:$G$3</c:f>
              <c:strCache>
                <c:ptCount val="5"/>
                <c:pt idx="0">
                  <c:v>Reading 09</c:v>
                </c:pt>
                <c:pt idx="1">
                  <c:v>Writing 09</c:v>
                </c:pt>
                <c:pt idx="2">
                  <c:v>Spelling 09</c:v>
                </c:pt>
                <c:pt idx="3">
                  <c:v>Grammar&amp;Punct. 09</c:v>
                </c:pt>
                <c:pt idx="4">
                  <c:v>Numeracy 09</c:v>
                </c:pt>
              </c:strCache>
            </c:strRef>
          </c:cat>
          <c:val>
            <c:numRef>
              <c:f>Sheet1!$C$5:$G$5</c:f>
              <c:numCache>
                <c:formatCode>General</c:formatCode>
                <c:ptCount val="5"/>
                <c:pt idx="0">
                  <c:v>518</c:v>
                </c:pt>
                <c:pt idx="1">
                  <c:v>522</c:v>
                </c:pt>
                <c:pt idx="2">
                  <c:v>513</c:v>
                </c:pt>
                <c:pt idx="3">
                  <c:v>494</c:v>
                </c:pt>
                <c:pt idx="4">
                  <c:v>521</c:v>
                </c:pt>
              </c:numCache>
            </c:numRef>
          </c:val>
        </c:ser>
        <c:ser>
          <c:idx val="2"/>
          <c:order val="2"/>
          <c:tx>
            <c:strRef>
              <c:f>Sheet1!$B$6</c:f>
              <c:strCache>
                <c:ptCount val="1"/>
                <c:pt idx="0">
                  <c:v>Glenala</c:v>
                </c:pt>
              </c:strCache>
            </c:strRef>
          </c:tx>
          <c:cat>
            <c:strRef>
              <c:f>Sheet1!$C$3:$G$3</c:f>
              <c:strCache>
                <c:ptCount val="5"/>
                <c:pt idx="0">
                  <c:v>Reading 09</c:v>
                </c:pt>
                <c:pt idx="1">
                  <c:v>Writing 09</c:v>
                </c:pt>
                <c:pt idx="2">
                  <c:v>Spelling 09</c:v>
                </c:pt>
                <c:pt idx="3">
                  <c:v>Grammar&amp;Punct. 09</c:v>
                </c:pt>
                <c:pt idx="4">
                  <c:v>Numeracy 09</c:v>
                </c:pt>
              </c:strCache>
            </c:strRef>
          </c:cat>
          <c:val>
            <c:numRef>
              <c:f>Sheet1!$C$6:$G$6</c:f>
              <c:numCache>
                <c:formatCode>General</c:formatCode>
                <c:ptCount val="5"/>
                <c:pt idx="0">
                  <c:v>505</c:v>
                </c:pt>
                <c:pt idx="1">
                  <c:v>484</c:v>
                </c:pt>
                <c:pt idx="2">
                  <c:v>513</c:v>
                </c:pt>
                <c:pt idx="3">
                  <c:v>508</c:v>
                </c:pt>
                <c:pt idx="4">
                  <c:v>514</c:v>
                </c:pt>
              </c:numCache>
            </c:numRef>
          </c:val>
        </c:ser>
        <c:ser>
          <c:idx val="3"/>
          <c:order val="3"/>
          <c:tx>
            <c:strRef>
              <c:f>Sheet1!$B$7</c:f>
              <c:strCache>
                <c:ptCount val="1"/>
                <c:pt idx="0">
                  <c:v>All</c:v>
                </c:pt>
              </c:strCache>
            </c:strRef>
          </c:tx>
          <c:cat>
            <c:strRef>
              <c:f>Sheet1!$C$3:$G$3</c:f>
              <c:strCache>
                <c:ptCount val="5"/>
                <c:pt idx="0">
                  <c:v>Reading 09</c:v>
                </c:pt>
                <c:pt idx="1">
                  <c:v>Writing 09</c:v>
                </c:pt>
                <c:pt idx="2">
                  <c:v>Spelling 09</c:v>
                </c:pt>
                <c:pt idx="3">
                  <c:v>Grammar&amp;Punct. 09</c:v>
                </c:pt>
                <c:pt idx="4">
                  <c:v>Numeracy 09</c:v>
                </c:pt>
              </c:strCache>
            </c:strRef>
          </c:cat>
          <c:val>
            <c:numRef>
              <c:f>Sheet1!$C$7:$G$7</c:f>
              <c:numCache>
                <c:formatCode>General</c:formatCode>
                <c:ptCount val="5"/>
                <c:pt idx="0">
                  <c:v>580</c:v>
                </c:pt>
                <c:pt idx="1">
                  <c:v>569</c:v>
                </c:pt>
                <c:pt idx="2">
                  <c:v>576</c:v>
                </c:pt>
                <c:pt idx="3">
                  <c:v>574</c:v>
                </c:pt>
                <c:pt idx="4">
                  <c:v>589</c:v>
                </c:pt>
              </c:numCache>
            </c:numRef>
          </c:val>
        </c:ser>
        <c:shape val="pyramid"/>
        <c:axId val="56456704"/>
        <c:axId val="56458240"/>
        <c:axId val="0"/>
      </c:bar3DChart>
      <c:catAx>
        <c:axId val="56456704"/>
        <c:scaling>
          <c:orientation val="minMax"/>
        </c:scaling>
        <c:axPos val="b"/>
        <c:tickLblPos val="nextTo"/>
        <c:crossAx val="56458240"/>
        <c:crosses val="autoZero"/>
        <c:auto val="1"/>
        <c:lblAlgn val="ctr"/>
        <c:lblOffset val="100"/>
      </c:catAx>
      <c:valAx>
        <c:axId val="56458240"/>
        <c:scaling>
          <c:orientation val="minMax"/>
        </c:scaling>
        <c:axPos val="l"/>
        <c:majorGridlines/>
        <c:numFmt formatCode="General" sourceLinked="1"/>
        <c:tickLblPos val="nextTo"/>
        <c:crossAx val="56456704"/>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chart>
    <c:view3D>
      <c:rAngAx val="1"/>
    </c:view3D>
    <c:plotArea>
      <c:layout/>
      <c:bar3DChart>
        <c:barDir val="col"/>
        <c:grouping val="clustered"/>
        <c:ser>
          <c:idx val="0"/>
          <c:order val="0"/>
          <c:tx>
            <c:strRef>
              <c:f>Sheet1!$D$31</c:f>
              <c:strCache>
                <c:ptCount val="1"/>
                <c:pt idx="0">
                  <c:v>Attendance</c:v>
                </c:pt>
              </c:strCache>
            </c:strRef>
          </c:tx>
          <c:cat>
            <c:strRef>
              <c:f>Sheet1!$C$32:$C$35</c:f>
              <c:strCache>
                <c:ptCount val="4"/>
                <c:pt idx="0">
                  <c:v>Centenary SHS</c:v>
                </c:pt>
                <c:pt idx="1">
                  <c:v>Forest Lake</c:v>
                </c:pt>
                <c:pt idx="2">
                  <c:v>Glenala</c:v>
                </c:pt>
                <c:pt idx="3">
                  <c:v>QLD</c:v>
                </c:pt>
              </c:strCache>
            </c:strRef>
          </c:cat>
          <c:val>
            <c:numRef>
              <c:f>Sheet1!$D$32:$D$35</c:f>
              <c:numCache>
                <c:formatCode>General</c:formatCode>
                <c:ptCount val="4"/>
                <c:pt idx="0">
                  <c:v>92</c:v>
                </c:pt>
                <c:pt idx="1">
                  <c:v>89</c:v>
                </c:pt>
                <c:pt idx="2">
                  <c:v>82</c:v>
                </c:pt>
                <c:pt idx="3">
                  <c:v>92.7</c:v>
                </c:pt>
              </c:numCache>
            </c:numRef>
          </c:val>
        </c:ser>
        <c:ser>
          <c:idx val="1"/>
          <c:order val="1"/>
          <c:tx>
            <c:strRef>
              <c:f>Sheet1!$E$31</c:f>
              <c:strCache>
                <c:ptCount val="1"/>
                <c:pt idx="0">
                  <c:v>Retention</c:v>
                </c:pt>
              </c:strCache>
            </c:strRef>
          </c:tx>
          <c:cat>
            <c:strRef>
              <c:f>Sheet1!$C$32:$C$35</c:f>
              <c:strCache>
                <c:ptCount val="4"/>
                <c:pt idx="0">
                  <c:v>Centenary SHS</c:v>
                </c:pt>
                <c:pt idx="1">
                  <c:v>Forest Lake</c:v>
                </c:pt>
                <c:pt idx="2">
                  <c:v>Glenala</c:v>
                </c:pt>
                <c:pt idx="3">
                  <c:v>QLD</c:v>
                </c:pt>
              </c:strCache>
            </c:strRef>
          </c:cat>
          <c:val>
            <c:numRef>
              <c:f>Sheet1!$E$32:$E$35</c:f>
              <c:numCache>
                <c:formatCode>General</c:formatCode>
                <c:ptCount val="4"/>
                <c:pt idx="0">
                  <c:v>80</c:v>
                </c:pt>
                <c:pt idx="1">
                  <c:v>82</c:v>
                </c:pt>
                <c:pt idx="2">
                  <c:v>70</c:v>
                </c:pt>
                <c:pt idx="3">
                  <c:v>70.7</c:v>
                </c:pt>
              </c:numCache>
            </c:numRef>
          </c:val>
        </c:ser>
        <c:shape val="pyramid"/>
        <c:axId val="56491392"/>
        <c:axId val="59315328"/>
        <c:axId val="0"/>
      </c:bar3DChart>
      <c:catAx>
        <c:axId val="56491392"/>
        <c:scaling>
          <c:orientation val="minMax"/>
        </c:scaling>
        <c:axPos val="b"/>
        <c:tickLblPos val="nextTo"/>
        <c:crossAx val="59315328"/>
        <c:crosses val="autoZero"/>
        <c:auto val="1"/>
        <c:lblAlgn val="ctr"/>
        <c:lblOffset val="100"/>
      </c:catAx>
      <c:valAx>
        <c:axId val="59315328"/>
        <c:scaling>
          <c:orientation val="minMax"/>
        </c:scaling>
        <c:axPos val="l"/>
        <c:majorGridlines/>
        <c:numFmt formatCode="General" sourceLinked="1"/>
        <c:tickLblPos val="nextTo"/>
        <c:crossAx val="56491392"/>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chart>
    <c:title>
      <c:layout/>
    </c:title>
    <c:view3D>
      <c:rAngAx val="1"/>
    </c:view3D>
    <c:plotArea>
      <c:layout/>
      <c:bar3DChart>
        <c:barDir val="col"/>
        <c:grouping val="clustered"/>
        <c:ser>
          <c:idx val="0"/>
          <c:order val="0"/>
          <c:tx>
            <c:strRef>
              <c:f>Sheet1!$G$55</c:f>
              <c:strCache>
                <c:ptCount val="1"/>
                <c:pt idx="0">
                  <c:v>ICSEA</c:v>
                </c:pt>
              </c:strCache>
            </c:strRef>
          </c:tx>
          <c:cat>
            <c:strRef>
              <c:f>Sheet1!$F$56:$F$59</c:f>
              <c:strCache>
                <c:ptCount val="4"/>
                <c:pt idx="0">
                  <c:v>Centenary SHS</c:v>
                </c:pt>
                <c:pt idx="1">
                  <c:v>Forest Lake</c:v>
                </c:pt>
                <c:pt idx="2">
                  <c:v>Glenala</c:v>
                </c:pt>
                <c:pt idx="3">
                  <c:v>QLD</c:v>
                </c:pt>
              </c:strCache>
            </c:strRef>
          </c:cat>
          <c:val>
            <c:numRef>
              <c:f>Sheet1!$G$56:$G$59</c:f>
              <c:numCache>
                <c:formatCode>General</c:formatCode>
                <c:ptCount val="4"/>
                <c:pt idx="0">
                  <c:v>1070</c:v>
                </c:pt>
                <c:pt idx="1">
                  <c:v>958</c:v>
                </c:pt>
                <c:pt idx="2">
                  <c:v>834</c:v>
                </c:pt>
                <c:pt idx="3">
                  <c:v>1000</c:v>
                </c:pt>
              </c:numCache>
            </c:numRef>
          </c:val>
        </c:ser>
        <c:shape val="pyramid"/>
        <c:axId val="59339520"/>
        <c:axId val="59341056"/>
        <c:axId val="0"/>
      </c:bar3DChart>
      <c:catAx>
        <c:axId val="59339520"/>
        <c:scaling>
          <c:orientation val="minMax"/>
        </c:scaling>
        <c:axPos val="b"/>
        <c:tickLblPos val="nextTo"/>
        <c:crossAx val="59341056"/>
        <c:crosses val="autoZero"/>
        <c:auto val="1"/>
        <c:lblAlgn val="ctr"/>
        <c:lblOffset val="100"/>
      </c:catAx>
      <c:valAx>
        <c:axId val="59341056"/>
        <c:scaling>
          <c:orientation val="minMax"/>
        </c:scaling>
        <c:axPos val="l"/>
        <c:majorGridlines/>
        <c:numFmt formatCode="General" sourceLinked="1"/>
        <c:tickLblPos val="nextTo"/>
        <c:crossAx val="593395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B2C4-A88E-4F5A-B609-579A5F04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 </dc:creator>
  <cp:keywords/>
  <dc:description/>
  <cp:lastModifiedBy>TomMc</cp:lastModifiedBy>
  <cp:revision>4</cp:revision>
  <dcterms:created xsi:type="dcterms:W3CDTF">2010-05-04T06:19:00Z</dcterms:created>
  <dcterms:modified xsi:type="dcterms:W3CDTF">2010-05-21T00:22:00Z</dcterms:modified>
</cp:coreProperties>
</file>