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5176"/>
      </w:tblGrid>
      <w:tr w:rsidR="0002311C" w:rsidRPr="00C12ADB" w:rsidTr="00BC4E7C">
        <w:trPr>
          <w:trHeight w:val="588"/>
          <w:jc w:val="center"/>
        </w:trPr>
        <w:tc>
          <w:tcPr>
            <w:tcW w:w="4666" w:type="dxa"/>
            <w:vAlign w:val="center"/>
          </w:tcPr>
          <w:p w:rsidR="0002311C" w:rsidRPr="006D22A0" w:rsidRDefault="0002311C" w:rsidP="00BC4E7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Theme="minorHAnsi" w:hAnsiTheme="minorHAnsi"/>
                <w:bCs w:val="0"/>
                <w:color w:val="17365D" w:themeColor="text2" w:themeShade="BF"/>
                <w:szCs w:val="28"/>
              </w:rPr>
            </w:pPr>
            <w:r w:rsidRPr="00C12ADB">
              <w:rPr>
                <w:rFonts w:asciiTheme="minorHAnsi" w:hAnsiTheme="minorHAnsi"/>
                <w:b w:val="0"/>
                <w:bCs w:val="0"/>
                <w:color w:val="17365D" w:themeColor="text2" w:themeShade="BF"/>
                <w:szCs w:val="28"/>
              </w:rPr>
              <w:br w:type="page"/>
            </w:r>
            <w:r w:rsidRPr="004E5B5C">
              <w:rPr>
                <w:rFonts w:asciiTheme="minorHAnsi" w:hAnsiTheme="minorHAnsi"/>
                <w:bCs w:val="0"/>
                <w:color w:val="17365D" w:themeColor="text2" w:themeShade="BF"/>
                <w:szCs w:val="28"/>
              </w:rPr>
              <w:t>School Staff</w:t>
            </w:r>
            <w:r>
              <w:rPr>
                <w:rFonts w:asciiTheme="minorHAnsi" w:hAnsiTheme="minorHAnsi"/>
                <w:bCs w:val="0"/>
                <w:color w:val="17365D" w:themeColor="text2" w:themeShade="BF"/>
                <w:szCs w:val="28"/>
              </w:rPr>
              <w:t xml:space="preserve"> </w:t>
            </w:r>
            <w:r w:rsidRPr="00C12ADB">
              <w:rPr>
                <w:rFonts w:asciiTheme="minorHAnsi" w:hAnsiTheme="minorHAnsi"/>
                <w:color w:val="17365D" w:themeColor="text2" w:themeShade="BF"/>
                <w:szCs w:val="28"/>
              </w:rPr>
              <w:t>R</w:t>
            </w:r>
            <w:r>
              <w:rPr>
                <w:rFonts w:asciiTheme="minorHAnsi" w:hAnsiTheme="minorHAnsi"/>
                <w:color w:val="17365D" w:themeColor="text2" w:themeShade="BF"/>
                <w:szCs w:val="28"/>
              </w:rPr>
              <w:t>ights</w:t>
            </w:r>
          </w:p>
        </w:tc>
        <w:tc>
          <w:tcPr>
            <w:tcW w:w="5176" w:type="dxa"/>
            <w:vAlign w:val="center"/>
          </w:tcPr>
          <w:p w:rsidR="0002311C" w:rsidRPr="00C12ADB" w:rsidRDefault="0002311C" w:rsidP="00BC4E7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Theme="minorHAnsi" w:hAnsiTheme="minorHAnsi"/>
                <w:color w:val="17365D" w:themeColor="text2" w:themeShade="BF"/>
                <w:szCs w:val="28"/>
              </w:rPr>
            </w:pPr>
            <w:r w:rsidRPr="00C12ADB">
              <w:rPr>
                <w:rFonts w:asciiTheme="minorHAnsi" w:hAnsiTheme="minorHAnsi"/>
                <w:color w:val="17365D" w:themeColor="text2" w:themeShade="BF"/>
                <w:szCs w:val="28"/>
              </w:rPr>
              <w:t>S</w:t>
            </w:r>
            <w:r>
              <w:rPr>
                <w:rFonts w:asciiTheme="minorHAnsi" w:hAnsiTheme="minorHAnsi"/>
                <w:color w:val="17365D" w:themeColor="text2" w:themeShade="BF"/>
                <w:szCs w:val="28"/>
              </w:rPr>
              <w:t>chool Staff</w:t>
            </w:r>
            <w:r w:rsidRPr="00C12ADB">
              <w:rPr>
                <w:rFonts w:asciiTheme="minorHAnsi" w:hAnsiTheme="minorHAnsi"/>
                <w:color w:val="17365D" w:themeColor="text2" w:themeShade="BF"/>
                <w:szCs w:val="28"/>
              </w:rPr>
              <w:t xml:space="preserve"> R</w:t>
            </w:r>
            <w:r>
              <w:rPr>
                <w:rFonts w:asciiTheme="minorHAnsi" w:hAnsiTheme="minorHAnsi"/>
                <w:color w:val="17365D" w:themeColor="text2" w:themeShade="BF"/>
                <w:szCs w:val="28"/>
              </w:rPr>
              <w:t>esponsibilities</w:t>
            </w:r>
            <w:r w:rsidRPr="00C12ADB">
              <w:rPr>
                <w:rFonts w:asciiTheme="minorHAnsi" w:hAnsiTheme="minorHAnsi"/>
                <w:color w:val="17365D" w:themeColor="text2" w:themeShade="BF"/>
                <w:szCs w:val="28"/>
              </w:rPr>
              <w:t xml:space="preserve"> </w:t>
            </w:r>
          </w:p>
        </w:tc>
      </w:tr>
      <w:tr w:rsidR="0002311C" w:rsidRPr="006D22A0" w:rsidTr="00BC4E7C">
        <w:trPr>
          <w:trHeight w:val="1335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(1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be made fully aware and supported in the implementation of various policies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(1)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a fair and consistent implementation of the behaviour management policy and any other policy.</w:t>
            </w:r>
          </w:p>
        </w:tc>
      </w:tr>
      <w:tr w:rsidR="0002311C" w:rsidRPr="006D22A0" w:rsidTr="00BC4E7C">
        <w:trPr>
          <w:trHeight w:val="860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(2)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To be treated politely and respectfully by others* 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Default="0002311C" w:rsidP="00BC4E7C">
            <w:pPr>
              <w:pStyle w:val="BodyTextIndent"/>
              <w:tabs>
                <w:tab w:val="left" w:pos="305"/>
              </w:tabs>
              <w:ind w:left="305" w:hanging="305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(2)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model respectful behaviour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thereby encouraging respect and promoting responsible behaviour</w:t>
            </w:r>
          </w:p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305" w:hanging="305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</w:p>
        </w:tc>
      </w:tr>
      <w:tr w:rsidR="0002311C" w:rsidRPr="006D22A0" w:rsidTr="00BC4E7C">
        <w:trPr>
          <w:trHeight w:val="1232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(3)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an environment that encourages professional development and a willingness to learn and change.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(3)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ensure that their attire, preparation and behaviour creates a positive environment for learning.</w:t>
            </w:r>
          </w:p>
        </w:tc>
      </w:tr>
      <w:tr w:rsidR="0002311C" w:rsidRPr="006D22A0" w:rsidTr="00BC4E7C">
        <w:trPr>
          <w:trHeight w:val="1436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(4)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expect that their professional viewpoints are heard and respected.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(4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)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ensure that they share their concerns using the formal channels, timely and appropriately.</w:t>
            </w:r>
          </w:p>
        </w:tc>
      </w:tr>
      <w:tr w:rsidR="0002311C" w:rsidRPr="006D22A0" w:rsidTr="00BC4E7C">
        <w:trPr>
          <w:trHeight w:val="806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(5)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be made aware of the individual needs of the students.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(5)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keep personal information confidential and to provide for the students’ individual needs.</w:t>
            </w:r>
          </w:p>
        </w:tc>
      </w:tr>
      <w:tr w:rsidR="0002311C" w:rsidRPr="006D22A0" w:rsidTr="00BC4E7C">
        <w:trPr>
          <w:trHeight w:val="1279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(6)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have an environment free from prejudice, harassment, victimization and fear of failure and denigration.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(6) </w:t>
            </w: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keep an environment free from discrimination, annoyance, victimization, fear from failure and belittling.</w:t>
            </w:r>
          </w:p>
        </w:tc>
      </w:tr>
      <w:tr w:rsidR="0002311C" w:rsidRPr="006D22A0" w:rsidTr="00BC4E7C">
        <w:trPr>
          <w:trHeight w:val="899"/>
          <w:jc w:val="center"/>
        </w:trPr>
        <w:tc>
          <w:tcPr>
            <w:tcW w:w="466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(7) To be appreciated and recognized for all the effort and the support given to both the school and children.</w:t>
            </w:r>
          </w:p>
        </w:tc>
        <w:tc>
          <w:tcPr>
            <w:tcW w:w="5176" w:type="dxa"/>
            <w:tcMar>
              <w:top w:w="288" w:type="dxa"/>
              <w:left w:w="158" w:type="dxa"/>
              <w:right w:w="115" w:type="dxa"/>
            </w:tcMar>
          </w:tcPr>
          <w:p w:rsidR="0002311C" w:rsidRPr="006D22A0" w:rsidRDefault="0002311C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6D22A0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(7) To recognize and appreciate the effort and the support provided</w:t>
            </w:r>
          </w:p>
        </w:tc>
      </w:tr>
    </w:tbl>
    <w:p w:rsidR="0002311C" w:rsidRPr="00C12ADB" w:rsidRDefault="0002311C" w:rsidP="0002311C">
      <w:pPr>
        <w:ind w:left="720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p w:rsidR="00B73258" w:rsidRDefault="0002311C" w:rsidP="0002311C">
      <w:r w:rsidRPr="00C12ADB">
        <w:rPr>
          <w:rFonts w:asciiTheme="minorHAnsi" w:hAnsiTheme="minorHAnsi"/>
          <w:color w:val="17365D" w:themeColor="text2" w:themeShade="BF"/>
          <w:szCs w:val="28"/>
        </w:rPr>
        <w:t>*Fellow students, teachers, the management team, non-teaching staff and parents.</w:t>
      </w:r>
    </w:p>
    <w:sectPr w:rsidR="00B73258" w:rsidSect="00B73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11C"/>
    <w:rsid w:val="0002311C"/>
    <w:rsid w:val="00B7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1C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2311C"/>
    <w:pPr>
      <w:ind w:left="3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2311C"/>
    <w:rPr>
      <w:rFonts w:ascii="Century Gothic" w:eastAsia="Times New Roman" w:hAnsi="Century Gothic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2</cp:revision>
  <dcterms:created xsi:type="dcterms:W3CDTF">2010-09-09T14:14:00Z</dcterms:created>
  <dcterms:modified xsi:type="dcterms:W3CDTF">2010-09-09T14:14:00Z</dcterms:modified>
</cp:coreProperties>
</file>