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BC" w:rsidRPr="004473A7" w:rsidRDefault="00E92546">
      <w:pPr>
        <w:rPr>
          <w:rFonts w:ascii="Arial" w:hAnsi="Arial" w:cs="Arial"/>
          <w:color w:val="FF0000"/>
          <w:sz w:val="24"/>
          <w:szCs w:val="24"/>
        </w:rPr>
      </w:pPr>
      <w:r w:rsidRPr="004473A7">
        <w:rPr>
          <w:rFonts w:ascii="Arial" w:hAnsi="Arial" w:cs="Arial"/>
          <w:color w:val="FF0000"/>
          <w:sz w:val="24"/>
          <w:szCs w:val="24"/>
          <w:highlight w:val="yellow"/>
        </w:rPr>
        <w:t>RESULTADOS MÁS RELEVANTES</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El número total de espacios analizados son 818, de los cuales 482 espacios deportivos y 336 campos de juego.</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Son 74 los centros que disponen de algún tipo de espacio cubierto dedicado a la práctica de la educación física.</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 xml:space="preserve">Son 19 las salas que cumplen con los requisitos mínimos en cuanto a superficie total (25,7%), aunque de ellas sólo 14 se ajustan a los valores dimensionales 27 x 15 x </w:t>
      </w:r>
      <w:smartTag w:uri="urn:schemas-microsoft-com:office:smarttags" w:element="metricconverter">
        <w:smartTagPr>
          <w:attr w:name="ProductID" w:val="4 m"/>
        </w:smartTagPr>
        <w:r w:rsidRPr="004473A7">
          <w:rPr>
            <w:rFonts w:ascii="Arial" w:hAnsi="Arial" w:cs="Arial"/>
            <w:color w:val="000000"/>
            <w:sz w:val="24"/>
            <w:szCs w:val="24"/>
          </w:rPr>
          <w:t>4 m</w:t>
        </w:r>
      </w:smartTag>
      <w:r w:rsidRPr="004473A7">
        <w:rPr>
          <w:rFonts w:ascii="Arial" w:hAnsi="Arial" w:cs="Arial"/>
          <w:color w:val="000000"/>
          <w:sz w:val="24"/>
          <w:szCs w:val="24"/>
        </w:rPr>
        <w:t>.</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En total se han valorado 66 campos de juego dentro de las instalaciones cubiertas, pero sólo 5 de ellos cumplen con las medidas reglamentarias y de seguridad establecidas.</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El 55,4% de las salas presenta deficiencias en lo que a planimetría de paredes lisas se refiere. La más notable es la existencia de pilares, cuadros contra incendios, extintores y columnas.</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Sólo dos de los 93 centros (2,15%) cuentan con una sala escolar que cumpla plenamente con los requisitos dimensionales y de seguridad establecidos.</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En referencia a los locales anexos podemos decir que de los 93 centros que componen la muestra, 72 cuentan con algún tipo de vestuarios y 21 carecen de ellos.</w:t>
      </w:r>
    </w:p>
    <w:p w:rsidR="00E92546" w:rsidRPr="004473A7" w:rsidRDefault="00E92546" w:rsidP="00E92546">
      <w:pPr>
        <w:pStyle w:val="Prrafodelista"/>
        <w:numPr>
          <w:ilvl w:val="0"/>
          <w:numId w:val="1"/>
        </w:numPr>
        <w:rPr>
          <w:rFonts w:ascii="Arial" w:hAnsi="Arial" w:cs="Arial"/>
          <w:color w:val="000000"/>
          <w:sz w:val="24"/>
          <w:szCs w:val="24"/>
        </w:rPr>
      </w:pPr>
      <w:r w:rsidRPr="004473A7">
        <w:rPr>
          <w:rFonts w:ascii="Arial" w:hAnsi="Arial" w:cs="Arial"/>
          <w:color w:val="000000"/>
          <w:sz w:val="24"/>
          <w:szCs w:val="24"/>
        </w:rPr>
        <w:t>Son 68 los vestuarios que disponen de iluminación y ventilación exteriores, pero sólo 22 cuentan con suelo antideslizante. Además, el 76,4% no son locales que puedan ser utilizados por personas con minusvalías; los tipos de barrera más frecuentes son la carencia de rampas de acceso, las dimensiones de las puertas y el espacio de las duchas.</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Tan sólo 58 centros disponen de vestuario para el profesor.</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Algo más de la mitad de los centros (55,9%) dispone de almacén para el material deportivo.</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El 94,6% de los centros dispone de algún tipo de pista al aire libre. El 41,9% cuenta con dos espacios de este tipo, destinados a balonmano, baloncesto y voleibol.</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 xml:space="preserve">Únicamente 32 centros cumplen los requisitos mínimos en cuanto a la necesidad de contar, al menos, con una pista cuyas dimensiones sean de 22 x </w:t>
      </w:r>
      <w:smartTag w:uri="urn:schemas-microsoft-com:office:smarttags" w:element="metricconverter">
        <w:smartTagPr>
          <w:attr w:name="ProductID" w:val="44 m"/>
        </w:smartTagPr>
        <w:r w:rsidRPr="004473A7">
          <w:rPr>
            <w:rFonts w:ascii="Arial" w:hAnsi="Arial" w:cs="Arial"/>
            <w:color w:val="000000"/>
            <w:sz w:val="24"/>
            <w:szCs w:val="24"/>
          </w:rPr>
          <w:t>44 m</w:t>
        </w:r>
      </w:smartTag>
      <w:r w:rsidRPr="004473A7">
        <w:rPr>
          <w:rFonts w:ascii="Arial" w:hAnsi="Arial" w:cs="Arial"/>
          <w:color w:val="000000"/>
          <w:sz w:val="24"/>
          <w:szCs w:val="24"/>
        </w:rPr>
        <w:t>.</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De las 156 pistas valoradas, 98 presentan continuidad y 58 carecen de ella, siendo el escalón y el bordillo los elementos que con más frecuencia interrumpen dicha continuidad.</w:t>
      </w:r>
    </w:p>
    <w:p w:rsidR="00E92546" w:rsidRPr="004473A7" w:rsidRDefault="00E92546"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65,6% del total de los centros no cumple con los requisitos mínimos establecidos para la existencia de pistas polideportivas. Únicamente 37 pistas, de las 156 valoradas, cumplen con las medidas establecidas como mínimas y sólo 3 de las pistas presentan todos los requisitos dimensionales y de seguridad estipulados.</w:t>
      </w:r>
    </w:p>
    <w:p w:rsidR="00E92546" w:rsidRPr="004473A7" w:rsidRDefault="004473A7"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lastRenderedPageBreak/>
        <w:t>En relación con la opinión del profesorado, concretar que más de la mitad (59,3%) considera que las instalaciones de las que dispone no son suficientes, que no son demasiado buenas en cuanto a calidad (50%) y que las mismas resultan inseguras (51,8%).</w:t>
      </w:r>
    </w:p>
    <w:p w:rsidR="004473A7" w:rsidRPr="004473A7" w:rsidRDefault="004473A7"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El material de que disponen es escaso o muy escaso (53%), aunque el 48% considera que dicho material es de buena calidad y que se trata de un material seguro (57,4%).</w:t>
      </w:r>
    </w:p>
    <w:p w:rsidR="004473A7" w:rsidRPr="004473A7" w:rsidRDefault="004473A7"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El 65,7% del profesorado piensa que los contenidos del currículo pueden mejorarse y la mitad de ellos (50%) opina que las propuestas que en él se realizan no les otorgan suficientes garantías de seguridad.</w:t>
      </w:r>
    </w:p>
    <w:p w:rsidR="004473A7" w:rsidRPr="004473A7" w:rsidRDefault="004473A7" w:rsidP="00E92546">
      <w:pPr>
        <w:pStyle w:val="Prrafodelista"/>
        <w:numPr>
          <w:ilvl w:val="0"/>
          <w:numId w:val="1"/>
        </w:numPr>
        <w:rPr>
          <w:rFonts w:ascii="Arial" w:hAnsi="Arial" w:cs="Arial"/>
          <w:sz w:val="24"/>
          <w:szCs w:val="24"/>
        </w:rPr>
      </w:pPr>
      <w:r w:rsidRPr="004473A7">
        <w:rPr>
          <w:rFonts w:ascii="Arial" w:hAnsi="Arial" w:cs="Arial"/>
          <w:color w:val="000000"/>
          <w:sz w:val="24"/>
          <w:szCs w:val="24"/>
        </w:rPr>
        <w:t>El 21,3% dice haber tenido algún accidente derivado de las deficiencias o carencias en las instalaciones o el material. En este aspecto, el de la responsabilidad civil, los profesores manifiestan sentirse desprotegidos (62%) por la Administración.</w:t>
      </w:r>
    </w:p>
    <w:sectPr w:rsidR="004473A7" w:rsidRPr="004473A7" w:rsidSect="009F16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50FB"/>
    <w:multiLevelType w:val="hybridMultilevel"/>
    <w:tmpl w:val="65AACAC4"/>
    <w:lvl w:ilvl="0" w:tplc="568831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546"/>
    <w:rsid w:val="004473A7"/>
    <w:rsid w:val="009F16BC"/>
    <w:rsid w:val="00E925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2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2010-12-18T12:11:00Z</dcterms:created>
  <dcterms:modified xsi:type="dcterms:W3CDTF">2010-12-18T12:24:00Z</dcterms:modified>
</cp:coreProperties>
</file>