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Avaliação de desempenho do Consultor de Negócio – </w:t>
      </w:r>
      <w:r>
        <w:rPr>
          <w:rFonts w:ascii="Calibri" w:hAnsi="Calibri" w:cs="Calibri"/>
          <w:sz w:val="28"/>
          <w:szCs w:val="28"/>
        </w:rPr>
        <w:t>A CAUAX avaliará periodicamente o desempenho de seus Consultores de Negócio, onde os mesmos deverão demonstrar capacidade comercial compatível com a política de captação da CAUAX. Os critérios são transparentes e baseados no resumo da política comercial e considerarão, dentre outros, os seguintes fatores:</w:t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rFonts w:ascii="Calibri" w:hAnsi="Calibri" w:cs="Calibri"/>
          <w:sz w:val="28"/>
          <w:szCs w:val="28"/>
        </w:rPr>
        <w:t>Atingimento</w:t>
      </w:r>
      <w:proofErr w:type="spellEnd"/>
      <w:r>
        <w:rPr>
          <w:rFonts w:ascii="Calibri" w:hAnsi="Calibri" w:cs="Calibri"/>
          <w:sz w:val="28"/>
          <w:szCs w:val="28"/>
        </w:rPr>
        <w:t xml:space="preserve"> de metas;</w:t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Volume de captação;</w:t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Cobertura do território;</w:t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% de desconto negociado com o fornecedor;</w:t>
      </w:r>
    </w:p>
    <w:p w:rsidR="0099007C" w:rsidRDefault="0099007C" w:rsidP="00990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 xml:space="preserve">% da CAUAX; e </w:t>
      </w:r>
    </w:p>
    <w:p w:rsidR="007B1588" w:rsidRDefault="0099007C" w:rsidP="0099007C">
      <w:pPr>
        <w:autoSpaceDE w:val="0"/>
        <w:autoSpaceDN w:val="0"/>
        <w:adjustRightInd w:val="0"/>
        <w:spacing w:after="0" w:line="240" w:lineRule="auto"/>
      </w:pPr>
      <w:r>
        <w:rPr>
          <w:rFonts w:ascii="Wingdings" w:hAnsi="Wingdings" w:cs="Wingdings"/>
          <w:sz w:val="28"/>
          <w:szCs w:val="28"/>
        </w:rPr>
        <w:t>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28"/>
          <w:szCs w:val="28"/>
        </w:rPr>
        <w:t>Posicionamento perante os Parceiros.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99007C"/>
    <w:rsid w:val="007B1588"/>
    <w:rsid w:val="0099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2011-03-09T23:11:00Z</dcterms:created>
  <dcterms:modified xsi:type="dcterms:W3CDTF">2011-03-09T23:16:00Z</dcterms:modified>
</cp:coreProperties>
</file>