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638D2" w14:textId="77777777" w:rsidR="00872F91" w:rsidRDefault="00F95172" w:rsidP="00A733B4">
      <w:pPr>
        <w:pStyle w:val="Title"/>
      </w:pPr>
      <w:r>
        <w:t>Interview Synthesis</w:t>
      </w:r>
      <w:r w:rsidR="00A733B4">
        <w:t xml:space="preserve"> Domain Three</w:t>
      </w:r>
    </w:p>
    <w:p w14:paraId="1AAECEB2" w14:textId="77777777" w:rsidR="00F95172" w:rsidRDefault="00F95172" w:rsidP="00F95172">
      <w:r>
        <w:t>The interview prompts used in the synthesis of professional knowledge held by Specialist teachers of vision stemmed from three areas. These were:</w:t>
      </w:r>
    </w:p>
    <w:p w14:paraId="3F3C468D" w14:textId="77777777" w:rsidR="00F95172" w:rsidRDefault="00F95172" w:rsidP="00F95172">
      <w:pPr>
        <w:pStyle w:val="ListParagraph"/>
        <w:numPr>
          <w:ilvl w:val="0"/>
          <w:numId w:val="1"/>
        </w:numPr>
      </w:pPr>
      <w:r>
        <w:t>Learning Theories</w:t>
      </w:r>
    </w:p>
    <w:p w14:paraId="066B586E" w14:textId="77777777" w:rsidR="00F95172" w:rsidRDefault="00F95172" w:rsidP="00F95172">
      <w:pPr>
        <w:pStyle w:val="ListParagraph"/>
        <w:numPr>
          <w:ilvl w:val="0"/>
          <w:numId w:val="1"/>
        </w:numPr>
      </w:pPr>
      <w:r>
        <w:t>Human Development</w:t>
      </w:r>
    </w:p>
    <w:p w14:paraId="5F2C3931" w14:textId="77777777" w:rsidR="00F95172" w:rsidRDefault="00F95172" w:rsidP="00F95172">
      <w:pPr>
        <w:pStyle w:val="ListParagraph"/>
        <w:numPr>
          <w:ilvl w:val="0"/>
          <w:numId w:val="1"/>
        </w:numPr>
      </w:pPr>
      <w:r>
        <w:t>Inclusive Education.</w:t>
      </w:r>
    </w:p>
    <w:p w14:paraId="3E9B06B6" w14:textId="77777777" w:rsidR="00F95172" w:rsidRDefault="00F95172" w:rsidP="00F95172">
      <w:pPr>
        <w:pStyle w:val="Heading2"/>
      </w:pPr>
      <w:r>
        <w:t>Learning Theories</w:t>
      </w:r>
    </w:p>
    <w:p w14:paraId="69D6F12D" w14:textId="6D4367EF" w:rsidR="0046126D" w:rsidRDefault="0046126D" w:rsidP="0046126D">
      <w:r>
        <w:t>Specialist Teachers of Vision dipped into a veritable grab bag of theorists, both general education theorists and vision specific theorists to guide and inform their teaching practice.</w:t>
      </w:r>
    </w:p>
    <w:tbl>
      <w:tblPr>
        <w:tblStyle w:val="TableGrid"/>
        <w:tblW w:w="0" w:type="auto"/>
        <w:tblLook w:val="04A0" w:firstRow="1" w:lastRow="0" w:firstColumn="1" w:lastColumn="0" w:noHBand="0" w:noVBand="1"/>
      </w:tblPr>
      <w:tblGrid>
        <w:gridCol w:w="4258"/>
        <w:gridCol w:w="4258"/>
      </w:tblGrid>
      <w:tr w:rsidR="0046126D" w14:paraId="2AD34C2A" w14:textId="77777777" w:rsidTr="0046126D">
        <w:tc>
          <w:tcPr>
            <w:tcW w:w="4258" w:type="dxa"/>
          </w:tcPr>
          <w:p w14:paraId="3F7009F9" w14:textId="3EF93EA1" w:rsidR="0046126D" w:rsidRDefault="0046126D" w:rsidP="0046126D">
            <w:r>
              <w:t>Education Theorist</w:t>
            </w:r>
          </w:p>
        </w:tc>
        <w:tc>
          <w:tcPr>
            <w:tcW w:w="4258" w:type="dxa"/>
          </w:tcPr>
          <w:p w14:paraId="483B6D0C" w14:textId="7AE48139" w:rsidR="0046126D" w:rsidRDefault="0046126D" w:rsidP="0046126D">
            <w:r>
              <w:t>Vision Theorist</w:t>
            </w:r>
          </w:p>
        </w:tc>
      </w:tr>
      <w:tr w:rsidR="0046126D" w14:paraId="6B4882AC" w14:textId="77777777" w:rsidTr="0046126D">
        <w:tc>
          <w:tcPr>
            <w:tcW w:w="4258" w:type="dxa"/>
          </w:tcPr>
          <w:p w14:paraId="071DA2D4" w14:textId="52FDBFE4" w:rsidR="0046126D" w:rsidRDefault="0046126D" w:rsidP="0046126D">
            <w:proofErr w:type="spellStart"/>
            <w:r>
              <w:t>Bronfenbrenner</w:t>
            </w:r>
            <w:proofErr w:type="spellEnd"/>
          </w:p>
        </w:tc>
        <w:tc>
          <w:tcPr>
            <w:tcW w:w="4258" w:type="dxa"/>
          </w:tcPr>
          <w:p w14:paraId="16FC6201" w14:textId="1599AC7C" w:rsidR="0046126D" w:rsidRDefault="0046126D" w:rsidP="0046126D">
            <w:r>
              <w:t>Roman -</w:t>
            </w:r>
            <w:proofErr w:type="spellStart"/>
            <w:r>
              <w:t>Lantzy</w:t>
            </w:r>
            <w:proofErr w:type="spellEnd"/>
          </w:p>
        </w:tc>
      </w:tr>
      <w:tr w:rsidR="0046126D" w14:paraId="24527EF3" w14:textId="77777777" w:rsidTr="0046126D">
        <w:tc>
          <w:tcPr>
            <w:tcW w:w="4258" w:type="dxa"/>
          </w:tcPr>
          <w:p w14:paraId="57C9F72B" w14:textId="6BB7681D" w:rsidR="0046126D" w:rsidRDefault="0046126D" w:rsidP="0046126D">
            <w:proofErr w:type="spellStart"/>
            <w:r>
              <w:t>Vygotsky</w:t>
            </w:r>
            <w:proofErr w:type="spellEnd"/>
          </w:p>
        </w:tc>
        <w:tc>
          <w:tcPr>
            <w:tcW w:w="4258" w:type="dxa"/>
          </w:tcPr>
          <w:p w14:paraId="7A1C2208" w14:textId="69A0360D" w:rsidR="0046126D" w:rsidRDefault="0046126D" w:rsidP="0046126D">
            <w:r>
              <w:t>Lilli Nielsen</w:t>
            </w:r>
          </w:p>
        </w:tc>
      </w:tr>
      <w:tr w:rsidR="0046126D" w14:paraId="15517A9C" w14:textId="77777777" w:rsidTr="0046126D">
        <w:tc>
          <w:tcPr>
            <w:tcW w:w="4258" w:type="dxa"/>
          </w:tcPr>
          <w:p w14:paraId="0BDCF571" w14:textId="76221C04" w:rsidR="0046126D" w:rsidRDefault="0046126D" w:rsidP="0046126D">
            <w:r>
              <w:t>Bandura</w:t>
            </w:r>
          </w:p>
        </w:tc>
        <w:tc>
          <w:tcPr>
            <w:tcW w:w="4258" w:type="dxa"/>
          </w:tcPr>
          <w:p w14:paraId="36C09644" w14:textId="44CCC99B" w:rsidR="0046126D" w:rsidRDefault="0046126D" w:rsidP="0046126D">
            <w:r>
              <w:t>Lea</w:t>
            </w:r>
            <w:r w:rsidR="007E7A5B">
              <w:t xml:space="preserve"> </w:t>
            </w:r>
            <w:proofErr w:type="spellStart"/>
            <w:r w:rsidR="007E7A5B">
              <w:t>Hyvarinan</w:t>
            </w:r>
            <w:proofErr w:type="spellEnd"/>
          </w:p>
        </w:tc>
      </w:tr>
      <w:tr w:rsidR="0046126D" w14:paraId="1C9038AE" w14:textId="77777777" w:rsidTr="0046126D">
        <w:tc>
          <w:tcPr>
            <w:tcW w:w="4258" w:type="dxa"/>
          </w:tcPr>
          <w:p w14:paraId="71D96638" w14:textId="3EF3D918" w:rsidR="0046126D" w:rsidRDefault="007E7A5B" w:rsidP="0046126D">
            <w:r>
              <w:t>Arnold Gesell</w:t>
            </w:r>
          </w:p>
        </w:tc>
        <w:tc>
          <w:tcPr>
            <w:tcW w:w="4258" w:type="dxa"/>
          </w:tcPr>
          <w:p w14:paraId="3C337159" w14:textId="5A1BC74C" w:rsidR="0046126D" w:rsidRDefault="000A5E91" w:rsidP="0046126D">
            <w:r>
              <w:t>Holbrook</w:t>
            </w:r>
          </w:p>
        </w:tc>
      </w:tr>
      <w:tr w:rsidR="0046126D" w14:paraId="4A2A014B" w14:textId="77777777" w:rsidTr="0046126D">
        <w:tc>
          <w:tcPr>
            <w:tcW w:w="4258" w:type="dxa"/>
          </w:tcPr>
          <w:p w14:paraId="63DB1A6A" w14:textId="2BDC544C" w:rsidR="0046126D" w:rsidRDefault="007E7A5B" w:rsidP="0046126D">
            <w:r>
              <w:t>Jean Piaget</w:t>
            </w:r>
          </w:p>
        </w:tc>
        <w:tc>
          <w:tcPr>
            <w:tcW w:w="4258" w:type="dxa"/>
          </w:tcPr>
          <w:p w14:paraId="67913EFB" w14:textId="76B99149" w:rsidR="0046126D" w:rsidRDefault="000A5E91" w:rsidP="0046126D">
            <w:r>
              <w:t>Koenig</w:t>
            </w:r>
          </w:p>
        </w:tc>
      </w:tr>
      <w:tr w:rsidR="0046126D" w14:paraId="269BB847" w14:textId="77777777" w:rsidTr="0046126D">
        <w:tc>
          <w:tcPr>
            <w:tcW w:w="4258" w:type="dxa"/>
          </w:tcPr>
          <w:p w14:paraId="4880797B" w14:textId="3E9AB4A3" w:rsidR="0046126D" w:rsidRDefault="007E7A5B" w:rsidP="0046126D">
            <w:r>
              <w:t>Maslow</w:t>
            </w:r>
          </w:p>
        </w:tc>
        <w:tc>
          <w:tcPr>
            <w:tcW w:w="4258" w:type="dxa"/>
          </w:tcPr>
          <w:p w14:paraId="03C1385B" w14:textId="4807A630" w:rsidR="0046126D" w:rsidRDefault="000A5E91" w:rsidP="0046126D">
            <w:r>
              <w:t>Corn</w:t>
            </w:r>
          </w:p>
        </w:tc>
      </w:tr>
      <w:tr w:rsidR="007E7A5B" w14:paraId="4B8CCF78" w14:textId="77777777" w:rsidTr="0046126D">
        <w:tc>
          <w:tcPr>
            <w:tcW w:w="4258" w:type="dxa"/>
          </w:tcPr>
          <w:p w14:paraId="1824482D" w14:textId="74000210" w:rsidR="007E7A5B" w:rsidRDefault="007E7A5B" w:rsidP="0046126D">
            <w:r>
              <w:t>Lillian Katz</w:t>
            </w:r>
          </w:p>
        </w:tc>
        <w:tc>
          <w:tcPr>
            <w:tcW w:w="4258" w:type="dxa"/>
          </w:tcPr>
          <w:p w14:paraId="42F1A67D" w14:textId="7F5F1FD0" w:rsidR="007E7A5B" w:rsidRDefault="007E7A5B" w:rsidP="0046126D">
            <w:r>
              <w:t>Gwen Nagle</w:t>
            </w:r>
            <w:bookmarkStart w:id="0" w:name="_GoBack"/>
            <w:bookmarkEnd w:id="0"/>
          </w:p>
        </w:tc>
      </w:tr>
      <w:tr w:rsidR="007E7A5B" w14:paraId="2B5F60EC" w14:textId="77777777" w:rsidTr="0046126D">
        <w:tc>
          <w:tcPr>
            <w:tcW w:w="4258" w:type="dxa"/>
          </w:tcPr>
          <w:p w14:paraId="2FED5C68" w14:textId="675710F1" w:rsidR="007E7A5B" w:rsidRDefault="007E7A5B" w:rsidP="0046126D">
            <w:r>
              <w:t>Margaret Carr</w:t>
            </w:r>
          </w:p>
        </w:tc>
        <w:tc>
          <w:tcPr>
            <w:tcW w:w="4258" w:type="dxa"/>
          </w:tcPr>
          <w:p w14:paraId="3FFEC1D8" w14:textId="77777777" w:rsidR="007E7A5B" w:rsidRDefault="007E7A5B" w:rsidP="0046126D"/>
        </w:tc>
      </w:tr>
      <w:tr w:rsidR="007E7A5B" w14:paraId="67E075A3" w14:textId="77777777" w:rsidTr="0046126D">
        <w:tc>
          <w:tcPr>
            <w:tcW w:w="4258" w:type="dxa"/>
          </w:tcPr>
          <w:p w14:paraId="2D012D93" w14:textId="1231ED15" w:rsidR="007E7A5B" w:rsidRDefault="007E7A5B" w:rsidP="0046126D">
            <w:r>
              <w:t>Skinner</w:t>
            </w:r>
          </w:p>
        </w:tc>
        <w:tc>
          <w:tcPr>
            <w:tcW w:w="4258" w:type="dxa"/>
          </w:tcPr>
          <w:p w14:paraId="213E2364" w14:textId="77777777" w:rsidR="007E7A5B" w:rsidRDefault="007E7A5B" w:rsidP="0046126D"/>
        </w:tc>
      </w:tr>
      <w:tr w:rsidR="007E7A5B" w14:paraId="00B62932" w14:textId="77777777" w:rsidTr="0046126D">
        <w:tc>
          <w:tcPr>
            <w:tcW w:w="4258" w:type="dxa"/>
          </w:tcPr>
          <w:p w14:paraId="1EB035C6" w14:textId="2061036A" w:rsidR="007E7A5B" w:rsidRDefault="007E7A5B" w:rsidP="0046126D">
            <w:r>
              <w:t>Ericson</w:t>
            </w:r>
          </w:p>
        </w:tc>
        <w:tc>
          <w:tcPr>
            <w:tcW w:w="4258" w:type="dxa"/>
          </w:tcPr>
          <w:p w14:paraId="690BB1F0" w14:textId="77777777" w:rsidR="007E7A5B" w:rsidRDefault="007E7A5B" w:rsidP="0046126D"/>
        </w:tc>
      </w:tr>
    </w:tbl>
    <w:p w14:paraId="3369648E" w14:textId="77777777" w:rsidR="0046126D" w:rsidRPr="0046126D" w:rsidRDefault="0046126D" w:rsidP="0046126D"/>
    <w:p w14:paraId="5C5D3BE6" w14:textId="77777777" w:rsidR="00F95172" w:rsidRDefault="00F95172" w:rsidP="00F95172"/>
    <w:p w14:paraId="7FCFC0D7" w14:textId="77777777" w:rsidR="00F95172" w:rsidRDefault="00F95172" w:rsidP="00F638AD">
      <w:pPr>
        <w:pStyle w:val="Heading2"/>
      </w:pPr>
      <w:r>
        <w:t>Human Development</w:t>
      </w:r>
    </w:p>
    <w:p w14:paraId="12FE4724" w14:textId="043EE3F9" w:rsidR="0046126D" w:rsidRPr="0046126D" w:rsidRDefault="0046126D" w:rsidP="0046126D">
      <w:r>
        <w:t>Specialist Teachers of Vision recognized the importance of holding solid understandings of the milestones of Human Development. This understanding when linked with understandings of the implications of vision impairment on development meant that they were able to develop realistic expectations and curriculum tasks for students.</w:t>
      </w:r>
    </w:p>
    <w:p w14:paraId="6025F396" w14:textId="77777777" w:rsidR="00F95172" w:rsidRDefault="00F95172" w:rsidP="00F638AD">
      <w:pPr>
        <w:pStyle w:val="Heading2"/>
      </w:pPr>
    </w:p>
    <w:p w14:paraId="2AFEA885" w14:textId="77777777" w:rsidR="00F95172" w:rsidRDefault="00F95172" w:rsidP="00F638AD">
      <w:pPr>
        <w:pStyle w:val="Heading2"/>
      </w:pPr>
      <w:r>
        <w:t>Inclusive Education</w:t>
      </w:r>
    </w:p>
    <w:p w14:paraId="05E1E4AA" w14:textId="4EE44D4A" w:rsidR="0046126D" w:rsidRDefault="000A5E91" w:rsidP="0046126D">
      <w:r>
        <w:t xml:space="preserve">The view of the child as having strengths, interests and competencies, having potential to learn was portrayed as an essential perspective underpinning inclusion. </w:t>
      </w:r>
      <w:r w:rsidR="0046126D">
        <w:t>Positive attitudes of teaching teams and school leadership to inclusive education were essential.</w:t>
      </w:r>
    </w:p>
    <w:p w14:paraId="08520DB3" w14:textId="77777777" w:rsidR="000A5E91" w:rsidRDefault="000A5E91" w:rsidP="000A5E91">
      <w:r>
        <w:t>The high demands on teacher time in mainstream settings were highlighted as a barrier to inclusion. The need for fully adaptive curriculum resources that need to be ready and available at the time the rest of the class receives their resources means forward planning is essential.</w:t>
      </w:r>
    </w:p>
    <w:p w14:paraId="247A711C" w14:textId="77777777" w:rsidR="000A5E91" w:rsidRDefault="000A5E91" w:rsidP="0046126D"/>
    <w:tbl>
      <w:tblPr>
        <w:tblStyle w:val="TableGrid"/>
        <w:tblW w:w="0" w:type="auto"/>
        <w:tblLook w:val="04A0" w:firstRow="1" w:lastRow="0" w:firstColumn="1" w:lastColumn="0" w:noHBand="0" w:noVBand="1"/>
      </w:tblPr>
      <w:tblGrid>
        <w:gridCol w:w="4258"/>
        <w:gridCol w:w="4258"/>
      </w:tblGrid>
      <w:tr w:rsidR="0046126D" w14:paraId="6CA295DA" w14:textId="77777777" w:rsidTr="0046126D">
        <w:tc>
          <w:tcPr>
            <w:tcW w:w="4258" w:type="dxa"/>
          </w:tcPr>
          <w:p w14:paraId="48EF466D" w14:textId="4CD44A68" w:rsidR="0046126D" w:rsidRDefault="0046126D" w:rsidP="0046126D">
            <w:r>
              <w:t>Barriers to inclusion</w:t>
            </w:r>
          </w:p>
        </w:tc>
        <w:tc>
          <w:tcPr>
            <w:tcW w:w="4258" w:type="dxa"/>
          </w:tcPr>
          <w:p w14:paraId="1E6D92B9" w14:textId="7079AFF9" w:rsidR="0046126D" w:rsidRDefault="0046126D" w:rsidP="0046126D">
            <w:r>
              <w:t>Approaches supporting inclusion</w:t>
            </w:r>
          </w:p>
        </w:tc>
      </w:tr>
      <w:tr w:rsidR="0046126D" w14:paraId="4457591C" w14:textId="77777777" w:rsidTr="0046126D">
        <w:tc>
          <w:tcPr>
            <w:tcW w:w="4258" w:type="dxa"/>
          </w:tcPr>
          <w:p w14:paraId="345BB373" w14:textId="5C53C5FD" w:rsidR="0046126D" w:rsidRDefault="0046126D" w:rsidP="0046126D">
            <w:r>
              <w:rPr>
                <w:rFonts w:eastAsia="Times New Roman" w:cs="Times New Roman"/>
              </w:rPr>
              <w:t>Lack of knowledge</w:t>
            </w:r>
          </w:p>
        </w:tc>
        <w:tc>
          <w:tcPr>
            <w:tcW w:w="4258" w:type="dxa"/>
          </w:tcPr>
          <w:p w14:paraId="3D0001F1" w14:textId="1DD9123D" w:rsidR="0046126D" w:rsidRDefault="00A6602F" w:rsidP="0046126D">
            <w:r>
              <w:rPr>
                <w:rFonts w:eastAsia="Times New Roman" w:cs="Times New Roman"/>
              </w:rPr>
              <w:t>Changing attitudes</w:t>
            </w:r>
          </w:p>
        </w:tc>
      </w:tr>
      <w:tr w:rsidR="0046126D" w14:paraId="7403BE53" w14:textId="77777777" w:rsidTr="0046126D">
        <w:tc>
          <w:tcPr>
            <w:tcW w:w="4258" w:type="dxa"/>
          </w:tcPr>
          <w:p w14:paraId="660269DA" w14:textId="23B72120" w:rsidR="0046126D" w:rsidRDefault="00A6602F" w:rsidP="0046126D">
            <w:r>
              <w:rPr>
                <w:rFonts w:eastAsia="Times New Roman" w:cs="Times New Roman"/>
              </w:rPr>
              <w:t>Teachers excluding the students or forgetting about them</w:t>
            </w:r>
          </w:p>
        </w:tc>
        <w:tc>
          <w:tcPr>
            <w:tcW w:w="4258" w:type="dxa"/>
          </w:tcPr>
          <w:p w14:paraId="05A3B281" w14:textId="7E1512F0" w:rsidR="0046126D" w:rsidRDefault="00A6602F" w:rsidP="0046126D">
            <w:r>
              <w:rPr>
                <w:rFonts w:eastAsia="Times New Roman" w:cs="Times New Roman"/>
              </w:rPr>
              <w:t>Team teaching, co-operative learning groups, interest groups, peer and cross age tutoring</w:t>
            </w:r>
          </w:p>
        </w:tc>
      </w:tr>
      <w:tr w:rsidR="0046126D" w14:paraId="1F008F7C" w14:textId="77777777" w:rsidTr="0046126D">
        <w:tc>
          <w:tcPr>
            <w:tcW w:w="4258" w:type="dxa"/>
          </w:tcPr>
          <w:p w14:paraId="4EA97096" w14:textId="2AC053D8" w:rsidR="0046126D" w:rsidRDefault="00A6602F" w:rsidP="0046126D">
            <w:r>
              <w:rPr>
                <w:rFonts w:eastAsia="Times New Roman" w:cs="Times New Roman"/>
              </w:rPr>
              <w:t xml:space="preserve">An exclusive environment – </w:t>
            </w:r>
            <w:proofErr w:type="spellStart"/>
            <w:r>
              <w:rPr>
                <w:rFonts w:eastAsia="Times New Roman" w:cs="Times New Roman"/>
              </w:rPr>
              <w:t>ie</w:t>
            </w:r>
            <w:proofErr w:type="spellEnd"/>
            <w:r>
              <w:rPr>
                <w:rFonts w:eastAsia="Times New Roman" w:cs="Times New Roman"/>
              </w:rPr>
              <w:t xml:space="preserve"> seated in isolation</w:t>
            </w:r>
          </w:p>
        </w:tc>
        <w:tc>
          <w:tcPr>
            <w:tcW w:w="4258" w:type="dxa"/>
          </w:tcPr>
          <w:p w14:paraId="5550FCD6" w14:textId="11DE3116" w:rsidR="0046126D" w:rsidRDefault="00A6602F" w:rsidP="0046126D">
            <w:r>
              <w:rPr>
                <w:rFonts w:eastAsia="Times New Roman" w:cs="Times New Roman"/>
              </w:rPr>
              <w:t xml:space="preserve">Providing an inclusive environment – </w:t>
            </w:r>
            <w:proofErr w:type="spellStart"/>
            <w:r>
              <w:rPr>
                <w:rFonts w:eastAsia="Times New Roman" w:cs="Times New Roman"/>
              </w:rPr>
              <w:t>ie</w:t>
            </w:r>
            <w:proofErr w:type="spellEnd"/>
            <w:r>
              <w:rPr>
                <w:rFonts w:eastAsia="Times New Roman" w:cs="Times New Roman"/>
              </w:rPr>
              <w:t xml:space="preserve"> students seated where possible with peers</w:t>
            </w:r>
          </w:p>
        </w:tc>
      </w:tr>
      <w:tr w:rsidR="0046126D" w14:paraId="7682EA31" w14:textId="77777777" w:rsidTr="0046126D">
        <w:tc>
          <w:tcPr>
            <w:tcW w:w="4258" w:type="dxa"/>
          </w:tcPr>
          <w:p w14:paraId="738D578B" w14:textId="52818CDD" w:rsidR="0046126D" w:rsidRDefault="00A6602F" w:rsidP="0046126D">
            <w:r>
              <w:rPr>
                <w:rFonts w:eastAsia="Times New Roman" w:cs="Times New Roman"/>
              </w:rPr>
              <w:t>Not having the appropriate technology</w:t>
            </w:r>
          </w:p>
        </w:tc>
        <w:tc>
          <w:tcPr>
            <w:tcW w:w="4258" w:type="dxa"/>
          </w:tcPr>
          <w:p w14:paraId="106464FD" w14:textId="523821D2" w:rsidR="0046126D" w:rsidRDefault="000A5E91" w:rsidP="0046126D">
            <w:r>
              <w:rPr>
                <w:rFonts w:eastAsia="Times New Roman" w:cs="Times New Roman"/>
              </w:rPr>
              <w:t>   Appropriate technology which promotes inclusion, independence and acceptance</w:t>
            </w:r>
          </w:p>
        </w:tc>
      </w:tr>
      <w:tr w:rsidR="0046126D" w14:paraId="4F51F6CF" w14:textId="77777777" w:rsidTr="0046126D">
        <w:tc>
          <w:tcPr>
            <w:tcW w:w="4258" w:type="dxa"/>
          </w:tcPr>
          <w:p w14:paraId="175F410E" w14:textId="0FD6AD88" w:rsidR="0046126D" w:rsidRDefault="00A6602F" w:rsidP="0046126D">
            <w:r>
              <w:rPr>
                <w:rFonts w:eastAsia="Times New Roman" w:cs="Times New Roman"/>
              </w:rPr>
              <w:t xml:space="preserve">Technology can be exclusive – </w:t>
            </w:r>
            <w:proofErr w:type="spellStart"/>
            <w:r>
              <w:rPr>
                <w:rFonts w:eastAsia="Times New Roman" w:cs="Times New Roman"/>
              </w:rPr>
              <w:t>ie</w:t>
            </w:r>
            <w:proofErr w:type="spellEnd"/>
            <w:r>
              <w:rPr>
                <w:rFonts w:eastAsia="Times New Roman" w:cs="Times New Roman"/>
              </w:rPr>
              <w:t xml:space="preserve"> a CCTV</w:t>
            </w:r>
          </w:p>
        </w:tc>
        <w:tc>
          <w:tcPr>
            <w:tcW w:w="4258" w:type="dxa"/>
          </w:tcPr>
          <w:p w14:paraId="3C4F7540" w14:textId="77777777" w:rsidR="0046126D" w:rsidRDefault="0046126D" w:rsidP="0046126D"/>
        </w:tc>
      </w:tr>
      <w:tr w:rsidR="0046126D" w14:paraId="54A5AAD3" w14:textId="77777777" w:rsidTr="0046126D">
        <w:tc>
          <w:tcPr>
            <w:tcW w:w="4258" w:type="dxa"/>
          </w:tcPr>
          <w:p w14:paraId="167645E2" w14:textId="7BA17630" w:rsidR="0046126D" w:rsidRDefault="00A6602F" w:rsidP="0046126D">
            <w:r>
              <w:rPr>
                <w:rFonts w:eastAsia="Times New Roman" w:cs="Times New Roman"/>
              </w:rPr>
              <w:t>Students have difficulty finding other students at break times</w:t>
            </w:r>
          </w:p>
        </w:tc>
        <w:tc>
          <w:tcPr>
            <w:tcW w:w="4258" w:type="dxa"/>
          </w:tcPr>
          <w:p w14:paraId="5263AB0B" w14:textId="77777777" w:rsidR="0046126D" w:rsidRDefault="0046126D" w:rsidP="0046126D"/>
        </w:tc>
      </w:tr>
      <w:tr w:rsidR="0046126D" w14:paraId="6394A64C" w14:textId="77777777" w:rsidTr="0046126D">
        <w:tc>
          <w:tcPr>
            <w:tcW w:w="4258" w:type="dxa"/>
          </w:tcPr>
          <w:p w14:paraId="729734B8" w14:textId="23667B2D" w:rsidR="0046126D" w:rsidRDefault="00A6602F" w:rsidP="0046126D">
            <w:r>
              <w:rPr>
                <w:rFonts w:eastAsia="Times New Roman" w:cs="Times New Roman"/>
              </w:rPr>
              <w:t>Students cannot read body language/facial expressions</w:t>
            </w:r>
          </w:p>
        </w:tc>
        <w:tc>
          <w:tcPr>
            <w:tcW w:w="4258" w:type="dxa"/>
          </w:tcPr>
          <w:p w14:paraId="2DCE6F68" w14:textId="77777777" w:rsidR="0046126D" w:rsidRDefault="0046126D" w:rsidP="0046126D"/>
        </w:tc>
      </w:tr>
      <w:tr w:rsidR="0046126D" w14:paraId="7E7FD40E" w14:textId="77777777" w:rsidTr="0046126D">
        <w:tc>
          <w:tcPr>
            <w:tcW w:w="4258" w:type="dxa"/>
          </w:tcPr>
          <w:p w14:paraId="58BC9051" w14:textId="2BC802F1" w:rsidR="0046126D" w:rsidRDefault="00A6602F" w:rsidP="0046126D">
            <w:r>
              <w:rPr>
                <w:rFonts w:eastAsia="Times New Roman" w:cs="Times New Roman"/>
              </w:rPr>
              <w:t>Poor social skills</w:t>
            </w:r>
          </w:p>
        </w:tc>
        <w:tc>
          <w:tcPr>
            <w:tcW w:w="4258" w:type="dxa"/>
          </w:tcPr>
          <w:p w14:paraId="54F9640B" w14:textId="657938D9" w:rsidR="0046126D" w:rsidRDefault="000A5E91" w:rsidP="0046126D">
            <w:r>
              <w:rPr>
                <w:rFonts w:eastAsia="Times New Roman" w:cs="Times New Roman"/>
              </w:rPr>
              <w:t>Extra support to enable students to access the learning environment and the curriculum with a feeling of control, success and independence.</w:t>
            </w:r>
          </w:p>
        </w:tc>
      </w:tr>
      <w:tr w:rsidR="0046126D" w14:paraId="57755F42" w14:textId="77777777" w:rsidTr="0046126D">
        <w:tc>
          <w:tcPr>
            <w:tcW w:w="4258" w:type="dxa"/>
          </w:tcPr>
          <w:p w14:paraId="08F72A08" w14:textId="3F7D5DD9" w:rsidR="0046126D" w:rsidRDefault="00A6602F" w:rsidP="0046126D">
            <w:r>
              <w:rPr>
                <w:rFonts w:eastAsia="Times New Roman" w:cs="Times New Roman"/>
              </w:rPr>
              <w:t>Poor physical skills and orientation and mobility skills</w:t>
            </w:r>
          </w:p>
        </w:tc>
        <w:tc>
          <w:tcPr>
            <w:tcW w:w="4258" w:type="dxa"/>
          </w:tcPr>
          <w:p w14:paraId="0D141BA6" w14:textId="39F6FF41" w:rsidR="0046126D" w:rsidRDefault="00A6602F" w:rsidP="0046126D">
            <w:r>
              <w:rPr>
                <w:rFonts w:eastAsia="Times New Roman" w:cs="Times New Roman"/>
              </w:rPr>
              <w:t>Improving physical skills and orientation and mobility skills</w:t>
            </w:r>
          </w:p>
        </w:tc>
      </w:tr>
      <w:tr w:rsidR="00A6602F" w14:paraId="5DD298FB" w14:textId="77777777" w:rsidTr="0046126D">
        <w:tc>
          <w:tcPr>
            <w:tcW w:w="4258" w:type="dxa"/>
          </w:tcPr>
          <w:p w14:paraId="7F25063D" w14:textId="4B92323B" w:rsidR="00A6602F" w:rsidRDefault="00A6602F" w:rsidP="0046126D">
            <w:pPr>
              <w:rPr>
                <w:rFonts w:eastAsia="Times New Roman" w:cs="Times New Roman"/>
              </w:rPr>
            </w:pPr>
            <w:r>
              <w:rPr>
                <w:rFonts w:eastAsia="Times New Roman" w:cs="Times New Roman"/>
              </w:rPr>
              <w:t>Lack of appropriate support</w:t>
            </w:r>
          </w:p>
        </w:tc>
        <w:tc>
          <w:tcPr>
            <w:tcW w:w="4258" w:type="dxa"/>
          </w:tcPr>
          <w:p w14:paraId="4A6D4A92" w14:textId="1401FB1B" w:rsidR="00A6602F" w:rsidRDefault="00A6602F" w:rsidP="0046126D">
            <w:r>
              <w:rPr>
                <w:rFonts w:eastAsia="Times New Roman" w:cs="Times New Roman"/>
              </w:rPr>
              <w:t>Providing the appropriate support needed for the teachers and the students</w:t>
            </w:r>
          </w:p>
        </w:tc>
      </w:tr>
      <w:tr w:rsidR="000A5E91" w14:paraId="797B924A" w14:textId="77777777" w:rsidTr="0046126D">
        <w:tc>
          <w:tcPr>
            <w:tcW w:w="4258" w:type="dxa"/>
          </w:tcPr>
          <w:p w14:paraId="746BE66D" w14:textId="14A80823" w:rsidR="000A5E91" w:rsidRDefault="000A5E91" w:rsidP="0046126D">
            <w:pPr>
              <w:rPr>
                <w:rFonts w:eastAsia="Times New Roman" w:cs="Times New Roman"/>
              </w:rPr>
            </w:pPr>
            <w:r>
              <w:rPr>
                <w:rFonts w:eastAsia="Times New Roman" w:cs="Times New Roman"/>
              </w:rPr>
              <w:t>Velcro syndrome</w:t>
            </w:r>
          </w:p>
        </w:tc>
        <w:tc>
          <w:tcPr>
            <w:tcW w:w="4258" w:type="dxa"/>
          </w:tcPr>
          <w:p w14:paraId="6A73D9E8" w14:textId="0D4CE5E2" w:rsidR="000A5E91" w:rsidRDefault="000A5E91" w:rsidP="0046126D">
            <w:pPr>
              <w:rPr>
                <w:rFonts w:eastAsia="Times New Roman" w:cs="Times New Roman"/>
              </w:rPr>
            </w:pPr>
            <w:r>
              <w:rPr>
                <w:rFonts w:eastAsia="Times New Roman" w:cs="Times New Roman"/>
              </w:rPr>
              <w:t>Encouraging interaction with others</w:t>
            </w:r>
          </w:p>
        </w:tc>
      </w:tr>
    </w:tbl>
    <w:p w14:paraId="13B7714D" w14:textId="77777777" w:rsidR="0046126D" w:rsidRPr="0046126D" w:rsidRDefault="0046126D" w:rsidP="0046126D"/>
    <w:p w14:paraId="0693C6CB" w14:textId="77777777" w:rsidR="00F95172" w:rsidRPr="00F95172" w:rsidRDefault="00F95172" w:rsidP="00F95172"/>
    <w:sectPr w:rsidR="00F95172" w:rsidRPr="00F95172"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253F"/>
    <w:multiLevelType w:val="hybridMultilevel"/>
    <w:tmpl w:val="498E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B4"/>
    <w:rsid w:val="0005476C"/>
    <w:rsid w:val="000A5E91"/>
    <w:rsid w:val="002D4A80"/>
    <w:rsid w:val="002F5AE8"/>
    <w:rsid w:val="0046126D"/>
    <w:rsid w:val="0071095F"/>
    <w:rsid w:val="007C3900"/>
    <w:rsid w:val="007E7A5B"/>
    <w:rsid w:val="00872F91"/>
    <w:rsid w:val="00A6602F"/>
    <w:rsid w:val="00A733B4"/>
    <w:rsid w:val="00B12E97"/>
    <w:rsid w:val="00CC0780"/>
    <w:rsid w:val="00EE692A"/>
    <w:rsid w:val="00F638AD"/>
    <w:rsid w:val="00F72256"/>
    <w:rsid w:val="00F9517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8A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951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33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33B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5172"/>
    <w:pPr>
      <w:ind w:left="720"/>
      <w:contextualSpacing/>
    </w:pPr>
  </w:style>
  <w:style w:type="character" w:customStyle="1" w:styleId="Heading2Char">
    <w:name w:val="Heading 2 Char"/>
    <w:basedOn w:val="DefaultParagraphFont"/>
    <w:link w:val="Heading2"/>
    <w:uiPriority w:val="9"/>
    <w:rsid w:val="00F9517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638A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46126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8A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951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33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33B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95172"/>
    <w:pPr>
      <w:ind w:left="720"/>
      <w:contextualSpacing/>
    </w:pPr>
  </w:style>
  <w:style w:type="character" w:customStyle="1" w:styleId="Heading2Char">
    <w:name w:val="Heading 2 Char"/>
    <w:basedOn w:val="DefaultParagraphFont"/>
    <w:link w:val="Heading2"/>
    <w:uiPriority w:val="9"/>
    <w:rsid w:val="00F9517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638A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46126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399</Words>
  <Characters>2280</Characters>
  <Application>Microsoft Macintosh Word</Application>
  <DocSecurity>0</DocSecurity>
  <Lines>19</Lines>
  <Paragraphs>5</Paragraphs>
  <ScaleCrop>false</ScaleCrop>
  <Company>Homai Early Childhood Centre</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3</cp:revision>
  <dcterms:created xsi:type="dcterms:W3CDTF">2011-08-04T03:45:00Z</dcterms:created>
  <dcterms:modified xsi:type="dcterms:W3CDTF">2011-08-05T03:17:00Z</dcterms:modified>
</cp:coreProperties>
</file>