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D" w:rsidRDefault="00373305" w:rsidP="00373305">
      <w:pPr>
        <w:jc w:val="center"/>
        <w:rPr>
          <w:b/>
          <w:lang w:val="en-US"/>
        </w:rPr>
      </w:pPr>
      <w:r>
        <w:rPr>
          <w:b/>
          <w:lang w:val="en-US"/>
        </w:rPr>
        <w:t xml:space="preserve">Australia TradeCoast </w:t>
      </w:r>
    </w:p>
    <w:p w:rsidR="00373305" w:rsidRDefault="00373305" w:rsidP="00373305">
      <w:pPr>
        <w:jc w:val="center"/>
        <w:rPr>
          <w:b/>
          <w:lang w:val="en-US"/>
        </w:rPr>
      </w:pPr>
      <w:r>
        <w:rPr>
          <w:b/>
          <w:lang w:val="en-US"/>
        </w:rPr>
        <w:t>Enterprise Centres</w:t>
      </w:r>
      <w:r w:rsidR="00EE12AD">
        <w:rPr>
          <w:b/>
          <w:lang w:val="en-US"/>
        </w:rPr>
        <w:t xml:space="preserve"> Scenario</w:t>
      </w:r>
    </w:p>
    <w:p w:rsidR="00373305" w:rsidRDefault="00373305">
      <w:pPr>
        <w:rPr>
          <w:b/>
          <w:lang w:val="en-US"/>
        </w:rPr>
      </w:pPr>
    </w:p>
    <w:p w:rsidR="00FD3370" w:rsidRPr="00E06EE6" w:rsidRDefault="00E06EE6">
      <w:pPr>
        <w:rPr>
          <w:b/>
          <w:lang w:val="en-US"/>
        </w:rPr>
      </w:pPr>
      <w:r w:rsidRPr="00E06EE6">
        <w:rPr>
          <w:b/>
          <w:lang w:val="en-US"/>
        </w:rPr>
        <w:t>Concept</w:t>
      </w:r>
    </w:p>
    <w:p w:rsidR="00E06EE6" w:rsidRDefault="00E06EE6">
      <w:pPr>
        <w:rPr>
          <w:lang w:val="en-US"/>
        </w:rPr>
      </w:pPr>
      <w:r>
        <w:rPr>
          <w:lang w:val="en-US"/>
        </w:rPr>
        <w:t xml:space="preserve">The concept for addressing the demand for suitably skilled employees by organizations based in the </w:t>
      </w:r>
      <w:r w:rsidR="00012362">
        <w:rPr>
          <w:lang w:val="en-US"/>
        </w:rPr>
        <w:t>Sunshine Coast</w:t>
      </w:r>
      <w:r>
        <w:rPr>
          <w:lang w:val="en-US"/>
        </w:rPr>
        <w:t xml:space="preserve"> is based on the establishment of </w:t>
      </w:r>
      <w:r w:rsidR="00012362">
        <w:rPr>
          <w:lang w:val="en-US"/>
        </w:rPr>
        <w:t>an Enterprise Centres in Maroochydore near the Bus interchange transport hub</w:t>
      </w:r>
      <w:r>
        <w:rPr>
          <w:lang w:val="en-US"/>
        </w:rPr>
        <w:t>.</w:t>
      </w:r>
    </w:p>
    <w:p w:rsidR="00E06EE6" w:rsidRDefault="00012362">
      <w:pPr>
        <w:rPr>
          <w:lang w:val="en-US"/>
        </w:rPr>
      </w:pPr>
      <w:r>
        <w:rPr>
          <w:lang w:val="en-US"/>
        </w:rPr>
        <w:t>The Sunshine Coast</w:t>
      </w:r>
      <w:r w:rsidR="00E06EE6">
        <w:rPr>
          <w:lang w:val="en-US"/>
        </w:rPr>
        <w:t xml:space="preserve"> Enterprise </w:t>
      </w:r>
      <w:proofErr w:type="spellStart"/>
      <w:r w:rsidR="00E06EE6">
        <w:rPr>
          <w:lang w:val="en-US"/>
        </w:rPr>
        <w:t>Centres</w:t>
      </w:r>
      <w:r>
        <w:rPr>
          <w:lang w:val="en-US"/>
        </w:rPr>
        <w:t>is</w:t>
      </w:r>
      <w:proofErr w:type="spellEnd"/>
      <w:r w:rsidR="00E06EE6">
        <w:rPr>
          <w:lang w:val="en-US"/>
        </w:rPr>
        <w:t xml:space="preserve"> proposed to operate as </w:t>
      </w:r>
      <w:r w:rsidR="00C03FC4">
        <w:rPr>
          <w:lang w:val="en-US"/>
        </w:rPr>
        <w:t xml:space="preserve">an online and face to face facility, which provides information on industry </w:t>
      </w:r>
      <w:proofErr w:type="spellStart"/>
      <w:r w:rsidR="00C03FC4">
        <w:rPr>
          <w:lang w:val="en-US"/>
        </w:rPr>
        <w:t>sectors</w:t>
      </w:r>
      <w:proofErr w:type="gramStart"/>
      <w:r w:rsidR="00C55CD0">
        <w:rPr>
          <w:lang w:val="en-US"/>
        </w:rPr>
        <w:t>,</w:t>
      </w:r>
      <w:r>
        <w:rPr>
          <w:lang w:val="en-US"/>
        </w:rPr>
        <w:t>skills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needs,Employment</w:t>
      </w:r>
      <w:proofErr w:type="spellEnd"/>
      <w:r>
        <w:rPr>
          <w:lang w:val="en-US"/>
        </w:rPr>
        <w:t xml:space="preserve"> and training pathways,</w:t>
      </w:r>
      <w:r w:rsidR="00C03FC4">
        <w:rPr>
          <w:lang w:val="en-US"/>
        </w:rPr>
        <w:t xml:space="preserve"> associated positions and local employment opportunities.  </w:t>
      </w:r>
      <w:r>
        <w:rPr>
          <w:lang w:val="en-US"/>
        </w:rPr>
        <w:t>The Centre</w:t>
      </w:r>
      <w:r w:rsidR="00C55CD0">
        <w:rPr>
          <w:lang w:val="en-US"/>
        </w:rPr>
        <w:t xml:space="preserve"> would cater to member organizations </w:t>
      </w:r>
      <w:r w:rsidR="00E04EC4">
        <w:rPr>
          <w:lang w:val="en-US"/>
        </w:rPr>
        <w:t>through service provision that includes:</w:t>
      </w:r>
    </w:p>
    <w:p w:rsidR="00E04EC4" w:rsidRDefault="00E04EC4" w:rsidP="00E04E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Running a Jobs board</w:t>
      </w:r>
    </w:p>
    <w:p w:rsidR="00E04EC4" w:rsidRDefault="00E04EC4" w:rsidP="00E04E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Profiling potential employees</w:t>
      </w:r>
    </w:p>
    <w:p w:rsidR="00E04EC4" w:rsidRDefault="00E04EC4" w:rsidP="00E04E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Liaising with schools and education/training providers to promote industry sectors, </w:t>
      </w:r>
      <w:r w:rsidR="00B2467E">
        <w:rPr>
          <w:lang w:val="en-US"/>
        </w:rPr>
        <w:t xml:space="preserve">market employment (apprenticeships and traineeships) opportunities, link work placement programs and operate a </w:t>
      </w:r>
      <w:r w:rsidR="00183BE1">
        <w:rPr>
          <w:lang w:val="en-US"/>
        </w:rPr>
        <w:t>preferred employment option for potential employees prepared to commit to an industry/organization member</w:t>
      </w:r>
    </w:p>
    <w:p w:rsidR="00183BE1" w:rsidRDefault="00183BE1" w:rsidP="00E04E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Facilitating up-skilling requirements for existing employees of member organizations.</w:t>
      </w:r>
    </w:p>
    <w:p w:rsidR="00857F3A" w:rsidRDefault="00012362" w:rsidP="00857F3A">
      <w:pPr>
        <w:rPr>
          <w:lang w:val="en-US"/>
        </w:rPr>
      </w:pPr>
      <w:r>
        <w:rPr>
          <w:lang w:val="en-US"/>
        </w:rPr>
        <w:t>The Centre</w:t>
      </w:r>
      <w:r w:rsidR="00857F3A">
        <w:rPr>
          <w:lang w:val="en-US"/>
        </w:rPr>
        <w:t xml:space="preserve"> would provide a structured and strategic approach to populating the ATC workforce in line with demand and skilling requirements consistent</w:t>
      </w:r>
      <w:r>
        <w:rPr>
          <w:lang w:val="en-US"/>
        </w:rPr>
        <w:t xml:space="preserve"> with the Sunshine Coast RDA</w:t>
      </w:r>
      <w:r w:rsidR="00537787">
        <w:rPr>
          <w:lang w:val="en-US"/>
        </w:rPr>
        <w:t xml:space="preserve"> strategic plan.</w:t>
      </w:r>
    </w:p>
    <w:p w:rsidR="00461934" w:rsidRPr="00F02E54" w:rsidRDefault="00F02E54" w:rsidP="00857F3A">
      <w:pPr>
        <w:rPr>
          <w:b/>
          <w:lang w:val="en-US"/>
        </w:rPr>
      </w:pPr>
      <w:r w:rsidRPr="00F02E54">
        <w:rPr>
          <w:b/>
          <w:lang w:val="en-US"/>
        </w:rPr>
        <w:t>Oper</w:t>
      </w:r>
      <w:r w:rsidR="00D657E3">
        <w:rPr>
          <w:b/>
          <w:lang w:val="en-US"/>
        </w:rPr>
        <w:t>ation</w:t>
      </w:r>
    </w:p>
    <w:p w:rsidR="00634EF2" w:rsidRDefault="00F02E54" w:rsidP="00857F3A">
      <w:pPr>
        <w:rPr>
          <w:lang w:val="en-US"/>
        </w:rPr>
      </w:pPr>
      <w:r>
        <w:rPr>
          <w:lang w:val="en-US"/>
        </w:rPr>
        <w:t>The Enterprise Centre</w:t>
      </w:r>
      <w:r w:rsidR="00012362">
        <w:rPr>
          <w:lang w:val="en-US"/>
        </w:rPr>
        <w:t xml:space="preserve"> is </w:t>
      </w:r>
      <w:r w:rsidR="00634EF2">
        <w:rPr>
          <w:lang w:val="en-US"/>
        </w:rPr>
        <w:t xml:space="preserve">envisioned to service </w:t>
      </w:r>
      <w:r w:rsidR="00012362">
        <w:rPr>
          <w:lang w:val="en-US"/>
        </w:rPr>
        <w:t xml:space="preserve">Sunshine </w:t>
      </w:r>
      <w:proofErr w:type="gramStart"/>
      <w:r w:rsidR="00012362">
        <w:rPr>
          <w:lang w:val="en-US"/>
        </w:rPr>
        <w:t xml:space="preserve">Coast </w:t>
      </w:r>
      <w:r w:rsidR="00634EF2">
        <w:rPr>
          <w:lang w:val="en-US"/>
        </w:rPr>
        <w:t xml:space="preserve"> resident</w:t>
      </w:r>
      <w:proofErr w:type="gramEnd"/>
      <w:r w:rsidR="00634EF2">
        <w:rPr>
          <w:lang w:val="en-US"/>
        </w:rPr>
        <w:t xml:space="preserve"> organizations through two main areas of application:</w:t>
      </w:r>
    </w:p>
    <w:p w:rsidR="00301213" w:rsidRDefault="00634EF2" w:rsidP="00634EF2">
      <w:pPr>
        <w:pStyle w:val="ListParagraph"/>
        <w:numPr>
          <w:ilvl w:val="0"/>
          <w:numId w:val="2"/>
        </w:numPr>
        <w:rPr>
          <w:lang w:val="en-US"/>
        </w:rPr>
      </w:pPr>
      <w:r w:rsidRPr="00634EF2">
        <w:rPr>
          <w:lang w:val="en-US"/>
        </w:rPr>
        <w:t xml:space="preserve">the facilitation of upgrading skills of existing employees to accommodate future technology developments and </w:t>
      </w:r>
      <w:r w:rsidR="003A1FE2">
        <w:rPr>
          <w:lang w:val="en-US"/>
        </w:rPr>
        <w:t>to ensure current practices are in accordance with trends and adaptations, such as ‘green practices’.</w:t>
      </w:r>
    </w:p>
    <w:p w:rsidR="003A1FE2" w:rsidRDefault="003A1FE2" w:rsidP="00634EF2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promotion of industry sectors to potential employees and facilitate career pathways for young people in order to cater to the future demand of resident </w:t>
      </w:r>
      <w:r w:rsidR="00E055FD">
        <w:rPr>
          <w:lang w:val="en-US"/>
        </w:rPr>
        <w:t>organizations</w:t>
      </w:r>
      <w:r w:rsidRPr="003A1FE2">
        <w:rPr>
          <w:lang w:val="en-US"/>
        </w:rPr>
        <w:t xml:space="preserve"> </w:t>
      </w:r>
      <w:r>
        <w:rPr>
          <w:lang w:val="en-US"/>
        </w:rPr>
        <w:t>for quality, skilled employment.</w:t>
      </w:r>
    </w:p>
    <w:p w:rsidR="003A1FE2" w:rsidRDefault="00012362" w:rsidP="003A1FE2">
      <w:pPr>
        <w:rPr>
          <w:lang w:val="en-US"/>
        </w:rPr>
      </w:pPr>
      <w:r>
        <w:rPr>
          <w:lang w:val="en-US"/>
        </w:rPr>
        <w:t xml:space="preserve">The Enterprise </w:t>
      </w:r>
      <w:proofErr w:type="spellStart"/>
      <w:r>
        <w:rPr>
          <w:lang w:val="en-US"/>
        </w:rPr>
        <w:t>Centr</w:t>
      </w:r>
      <w:r w:rsidR="00846DCA">
        <w:rPr>
          <w:lang w:val="en-US"/>
        </w:rPr>
        <w:t>s</w:t>
      </w:r>
      <w:proofErr w:type="spellEnd"/>
      <w:r w:rsidR="00846DCA">
        <w:rPr>
          <w:lang w:val="en-US"/>
        </w:rPr>
        <w:t xml:space="preserve"> would establish links with Industry Skills Councils</w:t>
      </w:r>
      <w:r w:rsidR="00710B55">
        <w:rPr>
          <w:lang w:val="en-US"/>
        </w:rPr>
        <w:t xml:space="preserve"> and training providers to ensure that identified gaps in skills </w:t>
      </w:r>
      <w:r w:rsidR="009A6F5F">
        <w:rPr>
          <w:lang w:val="en-US"/>
        </w:rPr>
        <w:t xml:space="preserve">required </w:t>
      </w:r>
      <w:r w:rsidR="00710B55">
        <w:rPr>
          <w:lang w:val="en-US"/>
        </w:rPr>
        <w:t xml:space="preserve">or </w:t>
      </w:r>
      <w:r w:rsidR="009A6F5F">
        <w:rPr>
          <w:lang w:val="en-US"/>
        </w:rPr>
        <w:t xml:space="preserve">in </w:t>
      </w:r>
      <w:r w:rsidR="00710B55">
        <w:rPr>
          <w:lang w:val="en-US"/>
        </w:rPr>
        <w:t xml:space="preserve">training provision </w:t>
      </w:r>
      <w:r w:rsidR="009A6F5F">
        <w:rPr>
          <w:lang w:val="en-US"/>
        </w:rPr>
        <w:t xml:space="preserve">are remedied. </w:t>
      </w:r>
    </w:p>
    <w:p w:rsidR="00012362" w:rsidRDefault="00012362" w:rsidP="003A1FE2">
      <w:pPr>
        <w:rPr>
          <w:lang w:val="en-US"/>
        </w:rPr>
      </w:pPr>
    </w:p>
    <w:p w:rsidR="00012362" w:rsidRDefault="00012362" w:rsidP="003A1FE2">
      <w:pPr>
        <w:rPr>
          <w:lang w:val="en-US"/>
        </w:rPr>
      </w:pPr>
    </w:p>
    <w:p w:rsidR="00FF3863" w:rsidRPr="00E055FD" w:rsidRDefault="00E055FD" w:rsidP="003A1FE2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Partners and </w:t>
      </w:r>
      <w:r w:rsidRPr="00E055FD">
        <w:rPr>
          <w:b/>
          <w:lang w:val="en-US"/>
        </w:rPr>
        <w:t>Potential Stakeholders</w:t>
      </w:r>
    </w:p>
    <w:p w:rsidR="00E055FD" w:rsidRPr="00E055FD" w:rsidRDefault="00E055FD" w:rsidP="00E055FD">
      <w:pPr>
        <w:rPr>
          <w:b/>
          <w:lang w:val="en-US"/>
        </w:rPr>
      </w:pPr>
      <w:r w:rsidRPr="00E055FD">
        <w:rPr>
          <w:b/>
          <w:lang w:val="en-US"/>
        </w:rPr>
        <w:t>Partners</w:t>
      </w:r>
    </w:p>
    <w:p w:rsidR="00E055FD" w:rsidRDefault="00012362" w:rsidP="00E055FD">
      <w:pPr>
        <w:rPr>
          <w:lang w:val="en-US"/>
        </w:rPr>
      </w:pPr>
      <w:r>
        <w:rPr>
          <w:lang w:val="en-US"/>
        </w:rPr>
        <w:t xml:space="preserve">Sunshine Coast Regional Development, </w:t>
      </w:r>
    </w:p>
    <w:p w:rsidR="00E055FD" w:rsidRPr="00E055FD" w:rsidRDefault="00E055FD" w:rsidP="00E055FD">
      <w:pPr>
        <w:rPr>
          <w:lang w:val="en-US"/>
        </w:rPr>
      </w:pPr>
      <w:r w:rsidRPr="00E055FD">
        <w:rPr>
          <w:lang w:val="en-US"/>
        </w:rPr>
        <w:t xml:space="preserve">QLD Government </w:t>
      </w:r>
    </w:p>
    <w:p w:rsidR="00E055FD" w:rsidRDefault="00012362" w:rsidP="00E055FD">
      <w:pPr>
        <w:rPr>
          <w:lang w:val="en-US"/>
        </w:rPr>
      </w:pPr>
      <w:r>
        <w:rPr>
          <w:lang w:val="en-US"/>
        </w:rPr>
        <w:t>Sunshine Coast Regional Council</w:t>
      </w:r>
    </w:p>
    <w:p w:rsidR="00466FF1" w:rsidRDefault="00466FF1" w:rsidP="00E055FD">
      <w:pPr>
        <w:rPr>
          <w:lang w:val="en-US"/>
        </w:rPr>
      </w:pPr>
      <w:r>
        <w:rPr>
          <w:lang w:val="en-US"/>
        </w:rPr>
        <w:t>Education Queensland</w:t>
      </w:r>
    </w:p>
    <w:p w:rsidR="00466FF1" w:rsidRDefault="00466FF1" w:rsidP="00E055FD">
      <w:pPr>
        <w:rPr>
          <w:lang w:val="en-US"/>
        </w:rPr>
      </w:pPr>
      <w:r>
        <w:rPr>
          <w:lang w:val="en-US"/>
        </w:rPr>
        <w:t>Catholic Education</w:t>
      </w:r>
    </w:p>
    <w:p w:rsidR="0055671E" w:rsidRPr="0055671E" w:rsidRDefault="0055671E" w:rsidP="00E055FD">
      <w:pPr>
        <w:rPr>
          <w:b/>
          <w:lang w:val="en-US"/>
        </w:rPr>
      </w:pPr>
      <w:r w:rsidRPr="0055671E">
        <w:rPr>
          <w:b/>
          <w:lang w:val="en-US"/>
        </w:rPr>
        <w:t>Potential Stakeholders</w:t>
      </w:r>
    </w:p>
    <w:tbl>
      <w:tblPr>
        <w:tblStyle w:val="TableGrid"/>
        <w:tblW w:w="0" w:type="auto"/>
        <w:tblLook w:val="04A0"/>
      </w:tblPr>
      <w:tblGrid>
        <w:gridCol w:w="2518"/>
        <w:gridCol w:w="6237"/>
      </w:tblGrid>
      <w:tr w:rsidR="0055671E" w:rsidTr="008F5702">
        <w:tc>
          <w:tcPr>
            <w:tcW w:w="2518" w:type="dxa"/>
          </w:tcPr>
          <w:p w:rsidR="0055671E" w:rsidRDefault="0055671E" w:rsidP="005567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Stakeholder</w:t>
            </w:r>
          </w:p>
        </w:tc>
        <w:tc>
          <w:tcPr>
            <w:tcW w:w="6237" w:type="dxa"/>
          </w:tcPr>
          <w:p w:rsidR="0055671E" w:rsidRDefault="0055671E" w:rsidP="005567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Benefits from Enterprise Centres</w:t>
            </w:r>
          </w:p>
        </w:tc>
      </w:tr>
      <w:tr w:rsidR="0055671E" w:rsidTr="008F5702">
        <w:tc>
          <w:tcPr>
            <w:tcW w:w="2518" w:type="dxa"/>
          </w:tcPr>
          <w:p w:rsidR="0055671E" w:rsidRDefault="00466FF1" w:rsidP="00E055FD">
            <w:pPr>
              <w:rPr>
                <w:lang w:val="en-US"/>
              </w:rPr>
            </w:pPr>
            <w:r>
              <w:rPr>
                <w:lang w:val="en-US"/>
              </w:rPr>
              <w:t>RDA</w:t>
            </w:r>
          </w:p>
        </w:tc>
        <w:tc>
          <w:tcPr>
            <w:tcW w:w="6237" w:type="dxa"/>
          </w:tcPr>
          <w:p w:rsidR="008F5702" w:rsidRDefault="008F5702" w:rsidP="00E055FD">
            <w:pPr>
              <w:rPr>
                <w:lang w:val="en-US"/>
              </w:rPr>
            </w:pPr>
            <w:r>
              <w:rPr>
                <w:lang w:val="en-US"/>
              </w:rPr>
              <w:t>Structured approach to identify future quality employees</w:t>
            </w:r>
            <w:r w:rsidR="00466FF1">
              <w:rPr>
                <w:lang w:val="en-US"/>
              </w:rPr>
              <w:t xml:space="preserve"> from within the region, </w:t>
            </w:r>
            <w:proofErr w:type="spellStart"/>
            <w:r w:rsidR="00466FF1">
              <w:rPr>
                <w:lang w:val="en-US"/>
              </w:rPr>
              <w:t>therby</w:t>
            </w:r>
            <w:proofErr w:type="spellEnd"/>
            <w:r w:rsidR="00466FF1">
              <w:rPr>
                <w:lang w:val="en-US"/>
              </w:rPr>
              <w:t xml:space="preserve"> reducing </w:t>
            </w:r>
            <w:proofErr w:type="spellStart"/>
            <w:r w:rsidR="00466FF1">
              <w:rPr>
                <w:lang w:val="en-US"/>
              </w:rPr>
              <w:t>trav</w:t>
            </w:r>
            <w:proofErr w:type="spellEnd"/>
            <w:r w:rsidR="00466FF1">
              <w:rPr>
                <w:lang w:val="en-US"/>
              </w:rPr>
              <w:t xml:space="preserve"> el times to work saving time and carbon emissions</w:t>
            </w:r>
            <w:r>
              <w:rPr>
                <w:lang w:val="en-US"/>
              </w:rPr>
              <w:t>.</w:t>
            </w:r>
          </w:p>
          <w:p w:rsidR="0055671E" w:rsidRDefault="008F5702" w:rsidP="00E055FD">
            <w:pPr>
              <w:rPr>
                <w:lang w:val="en-US"/>
              </w:rPr>
            </w:pPr>
            <w:r>
              <w:rPr>
                <w:lang w:val="en-US"/>
              </w:rPr>
              <w:t>Provides an avenue for interacting with the Education and</w:t>
            </w:r>
            <w:r w:rsidR="00466FF1">
              <w:rPr>
                <w:lang w:val="en-US"/>
              </w:rPr>
              <w:t xml:space="preserve"> Training sector at secondary, v</w:t>
            </w:r>
            <w:r>
              <w:rPr>
                <w:lang w:val="en-US"/>
              </w:rPr>
              <w:t>ocation and tertiary levels</w:t>
            </w:r>
          </w:p>
        </w:tc>
      </w:tr>
      <w:tr w:rsidR="008F5702" w:rsidTr="008F5702">
        <w:tc>
          <w:tcPr>
            <w:tcW w:w="2518" w:type="dxa"/>
          </w:tcPr>
          <w:p w:rsidR="008F5702" w:rsidRDefault="008F5702" w:rsidP="00E055FD">
            <w:pPr>
              <w:rPr>
                <w:lang w:val="en-US"/>
              </w:rPr>
            </w:pPr>
            <w:r w:rsidRPr="00E055FD">
              <w:rPr>
                <w:lang w:val="en-US"/>
              </w:rPr>
              <w:t>QLD Government</w:t>
            </w:r>
          </w:p>
        </w:tc>
        <w:tc>
          <w:tcPr>
            <w:tcW w:w="6237" w:type="dxa"/>
          </w:tcPr>
          <w:p w:rsidR="008F5702" w:rsidRDefault="008F5702" w:rsidP="00E055FD">
            <w:pPr>
              <w:rPr>
                <w:lang w:val="en-US"/>
              </w:rPr>
            </w:pPr>
            <w:r>
              <w:rPr>
                <w:lang w:val="en-US"/>
              </w:rPr>
              <w:t>Assists in lowering unemployment figure for the State</w:t>
            </w:r>
          </w:p>
          <w:p w:rsidR="008F5702" w:rsidRDefault="008F5702" w:rsidP="00F261A3">
            <w:pPr>
              <w:rPr>
                <w:lang w:val="en-US"/>
              </w:rPr>
            </w:pPr>
            <w:r>
              <w:rPr>
                <w:lang w:val="en-US"/>
              </w:rPr>
              <w:t xml:space="preserve">Contributes to the development of the </w:t>
            </w:r>
            <w:proofErr w:type="spellStart"/>
            <w:r w:rsidR="00466FF1">
              <w:rPr>
                <w:lang w:val="en-US"/>
              </w:rPr>
              <w:t>the</w:t>
            </w:r>
            <w:proofErr w:type="spellEnd"/>
            <w:r w:rsidR="00466FF1">
              <w:rPr>
                <w:lang w:val="en-US"/>
              </w:rPr>
              <w:t xml:space="preserve"> South East of Queensland </w:t>
            </w:r>
            <w:r>
              <w:rPr>
                <w:lang w:val="en-US"/>
              </w:rPr>
              <w:t xml:space="preserve"> as the second largest </w:t>
            </w:r>
            <w:r w:rsidR="00F261A3">
              <w:rPr>
                <w:lang w:val="en-US"/>
              </w:rPr>
              <w:t xml:space="preserve">State </w:t>
            </w:r>
            <w:r>
              <w:rPr>
                <w:lang w:val="en-US"/>
              </w:rPr>
              <w:t xml:space="preserve">employment </w:t>
            </w:r>
            <w:r w:rsidR="00F261A3">
              <w:rPr>
                <w:lang w:val="en-US"/>
              </w:rPr>
              <w:t>area</w:t>
            </w:r>
          </w:p>
          <w:p w:rsidR="00F261A3" w:rsidRDefault="00F261A3" w:rsidP="00F261A3">
            <w:pPr>
              <w:rPr>
                <w:lang w:val="en-US"/>
              </w:rPr>
            </w:pPr>
            <w:r>
              <w:rPr>
                <w:lang w:val="en-US"/>
              </w:rPr>
              <w:t>Assists in relieving pressure on infrastructure accessing the CBD</w:t>
            </w:r>
          </w:p>
          <w:p w:rsidR="00F261A3" w:rsidRDefault="00F261A3" w:rsidP="00F261A3">
            <w:pPr>
              <w:rPr>
                <w:lang w:val="en-US"/>
              </w:rPr>
            </w:pPr>
            <w:r>
              <w:rPr>
                <w:lang w:val="en-US"/>
              </w:rPr>
              <w:t>Assists in meeting National Partnership commitments regarding attainment and retention</w:t>
            </w:r>
          </w:p>
          <w:p w:rsidR="00442155" w:rsidRDefault="00442155" w:rsidP="00F261A3">
            <w:pPr>
              <w:rPr>
                <w:lang w:val="en-US"/>
              </w:rPr>
            </w:pPr>
            <w:r>
              <w:rPr>
                <w:lang w:val="en-US"/>
              </w:rPr>
              <w:t>Assists in contributing to raising State productivity</w:t>
            </w:r>
          </w:p>
        </w:tc>
      </w:tr>
      <w:tr w:rsidR="008F5702" w:rsidTr="008F5702">
        <w:tc>
          <w:tcPr>
            <w:tcW w:w="2518" w:type="dxa"/>
          </w:tcPr>
          <w:p w:rsidR="008F5702" w:rsidRDefault="00466FF1" w:rsidP="00466FF1">
            <w:pPr>
              <w:rPr>
                <w:lang w:val="en-US"/>
              </w:rPr>
            </w:pPr>
            <w:r>
              <w:rPr>
                <w:lang w:val="en-US"/>
              </w:rPr>
              <w:t>Sunshine Coast Regional</w:t>
            </w:r>
            <w:r w:rsidR="008F5702" w:rsidRPr="00E055FD">
              <w:rPr>
                <w:lang w:val="en-US"/>
              </w:rPr>
              <w:t xml:space="preserve"> Council</w:t>
            </w:r>
          </w:p>
        </w:tc>
        <w:tc>
          <w:tcPr>
            <w:tcW w:w="6237" w:type="dxa"/>
          </w:tcPr>
          <w:p w:rsidR="008F5702" w:rsidRDefault="00F261A3" w:rsidP="00E055FD">
            <w:pPr>
              <w:rPr>
                <w:lang w:val="en-US"/>
              </w:rPr>
            </w:pPr>
            <w:r>
              <w:rPr>
                <w:lang w:val="en-US"/>
              </w:rPr>
              <w:t>Assists in relieving pressure on infrastructure accessing the CBD</w:t>
            </w:r>
          </w:p>
          <w:p w:rsidR="00F261A3" w:rsidRDefault="00F261A3" w:rsidP="00E055FD">
            <w:pPr>
              <w:rPr>
                <w:lang w:val="en-US"/>
              </w:rPr>
            </w:pPr>
            <w:r>
              <w:rPr>
                <w:lang w:val="en-US"/>
              </w:rPr>
              <w:t>Assists in the demand for precinct land through growth and development</w:t>
            </w:r>
          </w:p>
          <w:p w:rsidR="00F261A3" w:rsidRDefault="00F261A3" w:rsidP="00E055FD">
            <w:pPr>
              <w:rPr>
                <w:lang w:val="en-US"/>
              </w:rPr>
            </w:pPr>
            <w:r>
              <w:rPr>
                <w:lang w:val="en-US"/>
              </w:rPr>
              <w:t>Assists in capitalizing on employment opportunities in the outer Brisbane region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55671E">
            <w:pPr>
              <w:rPr>
                <w:lang w:val="en-US"/>
              </w:rPr>
            </w:pPr>
            <w:r w:rsidRPr="00E055FD">
              <w:rPr>
                <w:lang w:val="en-US"/>
              </w:rPr>
              <w:t>Bus transport company</w:t>
            </w:r>
          </w:p>
        </w:tc>
        <w:tc>
          <w:tcPr>
            <w:tcW w:w="6237" w:type="dxa"/>
          </w:tcPr>
          <w:p w:rsidR="00DA345A" w:rsidRDefault="00DA345A" w:rsidP="00E055FD">
            <w:pPr>
              <w:rPr>
                <w:lang w:val="en-US"/>
              </w:rPr>
            </w:pPr>
            <w:r>
              <w:rPr>
                <w:lang w:val="en-US"/>
              </w:rPr>
              <w:t>Opportunity to increase targeted service provision</w:t>
            </w:r>
          </w:p>
          <w:p w:rsidR="00DA345A" w:rsidRDefault="00DA345A" w:rsidP="00E055FD">
            <w:pPr>
              <w:rPr>
                <w:lang w:val="en-US"/>
              </w:rPr>
            </w:pPr>
            <w:r>
              <w:rPr>
                <w:lang w:val="en-US"/>
              </w:rPr>
              <w:t xml:space="preserve">Government sponsored school service provision </w:t>
            </w:r>
            <w:r w:rsidR="00442155">
              <w:rPr>
                <w:lang w:val="en-US"/>
              </w:rPr>
              <w:t>lowers financial risk</w:t>
            </w:r>
          </w:p>
          <w:p w:rsidR="00DA345A" w:rsidRDefault="00DA345A" w:rsidP="00E055FD">
            <w:pPr>
              <w:rPr>
                <w:lang w:val="en-US"/>
              </w:rPr>
            </w:pPr>
            <w:r>
              <w:rPr>
                <w:lang w:val="en-US"/>
              </w:rPr>
              <w:t>Opportunity for preference in future public service provision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55671E">
            <w:pPr>
              <w:rPr>
                <w:lang w:val="en-US"/>
              </w:rPr>
            </w:pPr>
            <w:r w:rsidRPr="00E055FD">
              <w:rPr>
                <w:lang w:val="en-US"/>
              </w:rPr>
              <w:t>Education QLD</w:t>
            </w:r>
          </w:p>
        </w:tc>
        <w:tc>
          <w:tcPr>
            <w:tcW w:w="6237" w:type="dxa"/>
          </w:tcPr>
          <w:p w:rsidR="00DA345A" w:rsidRDefault="00442155" w:rsidP="00E055FD">
            <w:pPr>
              <w:rPr>
                <w:lang w:val="en-US"/>
              </w:rPr>
            </w:pPr>
            <w:r>
              <w:rPr>
                <w:lang w:val="en-US"/>
              </w:rPr>
              <w:t>Assists in attaining attainment and retention target levels</w:t>
            </w:r>
          </w:p>
          <w:p w:rsidR="00442155" w:rsidRDefault="00442155" w:rsidP="00E055FD">
            <w:pPr>
              <w:rPr>
                <w:lang w:val="en-US"/>
              </w:rPr>
            </w:pPr>
            <w:r>
              <w:rPr>
                <w:lang w:val="en-US"/>
              </w:rPr>
              <w:t>Provides increased transition pathways</w:t>
            </w:r>
          </w:p>
          <w:p w:rsidR="00442155" w:rsidRDefault="00442155" w:rsidP="00E055FD">
            <w:pPr>
              <w:rPr>
                <w:lang w:val="en-US"/>
              </w:rPr>
            </w:pPr>
            <w:r>
              <w:rPr>
                <w:lang w:val="en-US"/>
              </w:rPr>
              <w:t>Assists in informed career path choices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55671E">
            <w:pPr>
              <w:rPr>
                <w:lang w:val="en-US"/>
              </w:rPr>
            </w:pPr>
            <w:r w:rsidRPr="00E055FD">
              <w:rPr>
                <w:lang w:val="en-US"/>
              </w:rPr>
              <w:t>Federal Government</w:t>
            </w:r>
            <w:proofErr w:type="gramStart"/>
            <w:r w:rsidRPr="00E055FD">
              <w:rPr>
                <w:lang w:val="en-US"/>
              </w:rPr>
              <w:t>..</w:t>
            </w:r>
            <w:proofErr w:type="gramEnd"/>
            <w:r w:rsidRPr="00E055FD">
              <w:rPr>
                <w:lang w:val="en-US"/>
              </w:rPr>
              <w:t>DEEWR</w:t>
            </w:r>
          </w:p>
        </w:tc>
        <w:tc>
          <w:tcPr>
            <w:tcW w:w="6237" w:type="dxa"/>
          </w:tcPr>
          <w:p w:rsidR="00DA345A" w:rsidRDefault="00442155" w:rsidP="00E055FD">
            <w:pPr>
              <w:rPr>
                <w:lang w:val="en-US"/>
              </w:rPr>
            </w:pPr>
            <w:r>
              <w:rPr>
                <w:lang w:val="en-US"/>
              </w:rPr>
              <w:t>An exemplar</w:t>
            </w:r>
            <w:r w:rsidR="00E24F57">
              <w:rPr>
                <w:lang w:val="en-US"/>
              </w:rPr>
              <w:t xml:space="preserve"> of a program outcome</w:t>
            </w:r>
            <w:r w:rsidR="00164951">
              <w:rPr>
                <w:lang w:val="en-US"/>
              </w:rPr>
              <w:t>, potential funding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55671E">
            <w:pPr>
              <w:rPr>
                <w:lang w:val="en-US"/>
              </w:rPr>
            </w:pPr>
            <w:r w:rsidRPr="00E055FD">
              <w:rPr>
                <w:lang w:val="en-US"/>
              </w:rPr>
              <w:t>J</w:t>
            </w:r>
            <w:r>
              <w:rPr>
                <w:lang w:val="en-US"/>
              </w:rPr>
              <w:t xml:space="preserve">ob </w:t>
            </w:r>
            <w:r w:rsidRPr="00E055FD">
              <w:rPr>
                <w:lang w:val="en-US"/>
              </w:rPr>
              <w:t>S</w:t>
            </w:r>
            <w:r>
              <w:rPr>
                <w:lang w:val="en-US"/>
              </w:rPr>
              <w:t xml:space="preserve">ervice </w:t>
            </w:r>
            <w:r w:rsidRPr="00E055FD">
              <w:rPr>
                <w:lang w:val="en-US"/>
              </w:rPr>
              <w:t>A</w:t>
            </w:r>
            <w:r>
              <w:rPr>
                <w:lang w:val="en-US"/>
              </w:rPr>
              <w:t>ustralia Provider</w:t>
            </w:r>
            <w:r w:rsidRPr="00E055FD">
              <w:rPr>
                <w:lang w:val="en-US"/>
              </w:rPr>
              <w:t>s</w:t>
            </w:r>
          </w:p>
        </w:tc>
        <w:tc>
          <w:tcPr>
            <w:tcW w:w="6237" w:type="dxa"/>
          </w:tcPr>
          <w:p w:rsidR="00DA345A" w:rsidRDefault="003E57C6" w:rsidP="001B4993">
            <w:pPr>
              <w:rPr>
                <w:lang w:val="en-US"/>
              </w:rPr>
            </w:pPr>
            <w:r>
              <w:rPr>
                <w:lang w:val="en-US"/>
              </w:rPr>
              <w:t>Informed on employment opportunities</w:t>
            </w:r>
          </w:p>
          <w:p w:rsidR="001B4993" w:rsidRDefault="001B4993" w:rsidP="001B4993">
            <w:pPr>
              <w:rPr>
                <w:lang w:val="en-US"/>
              </w:rPr>
            </w:pPr>
            <w:r>
              <w:rPr>
                <w:lang w:val="en-US"/>
              </w:rPr>
              <w:t>Source of specific quality information on skill sets required</w:t>
            </w:r>
          </w:p>
          <w:p w:rsidR="001B4993" w:rsidRDefault="001B4993" w:rsidP="001B4993">
            <w:pPr>
              <w:rPr>
                <w:lang w:val="en-US"/>
              </w:rPr>
            </w:pPr>
            <w:r>
              <w:rPr>
                <w:lang w:val="en-US"/>
              </w:rPr>
              <w:t>Links to a large range of industry sectors and organisations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55671E">
            <w:pPr>
              <w:rPr>
                <w:lang w:val="en-US"/>
              </w:rPr>
            </w:pPr>
            <w:r w:rsidRPr="00E055FD">
              <w:rPr>
                <w:lang w:val="en-US"/>
              </w:rPr>
              <w:t>Microsoft</w:t>
            </w:r>
          </w:p>
        </w:tc>
        <w:tc>
          <w:tcPr>
            <w:tcW w:w="6237" w:type="dxa"/>
          </w:tcPr>
          <w:p w:rsidR="00DA345A" w:rsidRDefault="005223F1" w:rsidP="00E055FD">
            <w:pPr>
              <w:rPr>
                <w:lang w:val="en-US"/>
              </w:rPr>
            </w:pPr>
            <w:r>
              <w:rPr>
                <w:lang w:val="en-US"/>
              </w:rPr>
              <w:t>The Centres would provide a vehicle for Microsoft</w:t>
            </w:r>
            <w:r w:rsidR="002E465E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="002E465E">
              <w:rPr>
                <w:lang w:val="en-US"/>
              </w:rPr>
              <w:t xml:space="preserve"> entrepreneur investment program in helping the regional community and 15-24 </w:t>
            </w:r>
            <w:r w:rsidR="002E465E">
              <w:rPr>
                <w:lang w:val="en-US"/>
              </w:rPr>
              <w:lastRenderedPageBreak/>
              <w:t>year olds in particular and in developing the future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55671E">
            <w:pPr>
              <w:rPr>
                <w:lang w:val="en-US"/>
              </w:rPr>
            </w:pPr>
            <w:r w:rsidRPr="00E055FD">
              <w:rPr>
                <w:lang w:val="en-US"/>
              </w:rPr>
              <w:lastRenderedPageBreak/>
              <w:t>RTO's</w:t>
            </w:r>
          </w:p>
        </w:tc>
        <w:tc>
          <w:tcPr>
            <w:tcW w:w="6237" w:type="dxa"/>
          </w:tcPr>
          <w:p w:rsidR="00DA345A" w:rsidRDefault="002E465E" w:rsidP="00E055FD">
            <w:pPr>
              <w:rPr>
                <w:lang w:val="en-US"/>
              </w:rPr>
            </w:pPr>
            <w:r>
              <w:rPr>
                <w:lang w:val="en-US"/>
              </w:rPr>
              <w:t>Quality RTOs offering courses in relevant areas would be promoted as preferred trainers</w:t>
            </w:r>
          </w:p>
          <w:p w:rsidR="007C0FD0" w:rsidRDefault="007C0FD0" w:rsidP="00E055FD">
            <w:pPr>
              <w:rPr>
                <w:lang w:val="en-US"/>
              </w:rPr>
            </w:pPr>
            <w:r>
              <w:rPr>
                <w:lang w:val="en-US"/>
              </w:rPr>
              <w:t>RTO industry relationships strengthened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E055FD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7C0FD0" w:rsidRDefault="007C0FD0" w:rsidP="007C0FD0">
            <w:pPr>
              <w:rPr>
                <w:lang w:val="en-US"/>
              </w:rPr>
            </w:pPr>
          </w:p>
        </w:tc>
      </w:tr>
      <w:tr w:rsidR="00DA345A" w:rsidTr="008F5702">
        <w:tc>
          <w:tcPr>
            <w:tcW w:w="2518" w:type="dxa"/>
          </w:tcPr>
          <w:p w:rsidR="00DA345A" w:rsidRDefault="00DA345A" w:rsidP="00E055FD">
            <w:pPr>
              <w:rPr>
                <w:lang w:val="en-US"/>
              </w:rPr>
            </w:pPr>
            <w:r w:rsidRPr="00E055FD">
              <w:rPr>
                <w:lang w:val="en-US"/>
              </w:rPr>
              <w:t>Translink</w:t>
            </w:r>
          </w:p>
        </w:tc>
        <w:tc>
          <w:tcPr>
            <w:tcW w:w="6237" w:type="dxa"/>
          </w:tcPr>
          <w:p w:rsidR="00DA345A" w:rsidRDefault="00181ED7" w:rsidP="00E055F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70D4F">
              <w:rPr>
                <w:lang w:val="en-US"/>
              </w:rPr>
              <w:t>rovision of data for assisting  business decision making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E055FD">
            <w:pPr>
              <w:rPr>
                <w:lang w:val="en-US"/>
              </w:rPr>
            </w:pPr>
            <w:r w:rsidRPr="00E055FD">
              <w:rPr>
                <w:lang w:val="en-US"/>
              </w:rPr>
              <w:t>Universities</w:t>
            </w:r>
          </w:p>
        </w:tc>
        <w:tc>
          <w:tcPr>
            <w:tcW w:w="6237" w:type="dxa"/>
          </w:tcPr>
          <w:p w:rsidR="00DA345A" w:rsidRDefault="00FD3370" w:rsidP="00E055FD">
            <w:pPr>
              <w:rPr>
                <w:lang w:val="en-US"/>
              </w:rPr>
            </w:pPr>
            <w:r>
              <w:rPr>
                <w:lang w:val="en-US"/>
              </w:rPr>
              <w:t>Provides quality information and links to courses</w:t>
            </w:r>
          </w:p>
          <w:p w:rsidR="0081735A" w:rsidRDefault="0081735A" w:rsidP="00E055FD">
            <w:pPr>
              <w:rPr>
                <w:lang w:val="en-US"/>
              </w:rPr>
            </w:pPr>
            <w:r>
              <w:rPr>
                <w:lang w:val="en-US"/>
              </w:rPr>
              <w:t>Students would have a profile (re: Career voyager) and be informed through quality information regarding areas of interest</w:t>
            </w:r>
          </w:p>
        </w:tc>
      </w:tr>
      <w:tr w:rsidR="00DA345A" w:rsidTr="008F5702">
        <w:tc>
          <w:tcPr>
            <w:tcW w:w="2518" w:type="dxa"/>
          </w:tcPr>
          <w:p w:rsidR="00DA345A" w:rsidRDefault="00DA345A" w:rsidP="00E055FD">
            <w:pPr>
              <w:rPr>
                <w:lang w:val="en-US"/>
              </w:rPr>
            </w:pPr>
            <w:r w:rsidRPr="00E055FD">
              <w:rPr>
                <w:lang w:val="en-US"/>
              </w:rPr>
              <w:t>Urban Land Development Authority</w:t>
            </w:r>
          </w:p>
        </w:tc>
        <w:tc>
          <w:tcPr>
            <w:tcW w:w="6237" w:type="dxa"/>
          </w:tcPr>
          <w:p w:rsidR="00DA345A" w:rsidRDefault="00FD3370" w:rsidP="00FD3370">
            <w:pPr>
              <w:rPr>
                <w:lang w:val="en-US"/>
              </w:rPr>
            </w:pPr>
            <w:r>
              <w:rPr>
                <w:lang w:val="en-US"/>
              </w:rPr>
              <w:t xml:space="preserve">Assist with employment opportunities for local community </w:t>
            </w:r>
          </w:p>
          <w:p w:rsidR="00FD3370" w:rsidRDefault="00FD3370" w:rsidP="00FD3370">
            <w:pPr>
              <w:rPr>
                <w:lang w:val="en-US"/>
              </w:rPr>
            </w:pPr>
            <w:r>
              <w:rPr>
                <w:lang w:val="en-US"/>
              </w:rPr>
              <w:t>Assist with attractiveness of living within the region</w:t>
            </w:r>
          </w:p>
        </w:tc>
      </w:tr>
    </w:tbl>
    <w:p w:rsidR="0055671E" w:rsidRDefault="0055671E" w:rsidP="00E055FD">
      <w:pPr>
        <w:rPr>
          <w:lang w:val="en-US"/>
        </w:rPr>
      </w:pPr>
    </w:p>
    <w:p w:rsidR="00301213" w:rsidRDefault="00301213" w:rsidP="00857F3A">
      <w:pPr>
        <w:rPr>
          <w:lang w:val="en-US"/>
        </w:rPr>
      </w:pPr>
    </w:p>
    <w:p w:rsidR="00301213" w:rsidRDefault="00301213" w:rsidP="00857F3A">
      <w:pPr>
        <w:rPr>
          <w:lang w:val="en-US"/>
        </w:rPr>
        <w:sectPr w:rsidR="00301213" w:rsidSect="00AE378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01213" w:rsidRPr="00F02E54" w:rsidRDefault="00301213" w:rsidP="00857F3A">
      <w:pPr>
        <w:rPr>
          <w:b/>
          <w:lang w:val="en-US"/>
        </w:rPr>
      </w:pPr>
      <w:r w:rsidRPr="00F02E54">
        <w:rPr>
          <w:b/>
          <w:lang w:val="en-US"/>
        </w:rPr>
        <w:lastRenderedPageBreak/>
        <w:t>Budget</w:t>
      </w:r>
    </w:p>
    <w:tbl>
      <w:tblPr>
        <w:tblW w:w="7848" w:type="dxa"/>
        <w:tblInd w:w="8" w:type="dxa"/>
        <w:tblLayout w:type="fixed"/>
        <w:tblLook w:val="0000"/>
      </w:tblPr>
      <w:tblGrid>
        <w:gridCol w:w="3996"/>
        <w:gridCol w:w="1284"/>
        <w:gridCol w:w="1284"/>
        <w:gridCol w:w="1284"/>
      </w:tblGrid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 </w:t>
            </w:r>
            <w:r w:rsidRPr="0097537C">
              <w:rPr>
                <w:rFonts w:cs="Arial"/>
                <w:b/>
                <w:bCs/>
                <w:lang w:eastAsia="en-AU"/>
              </w:rPr>
              <w:t>INCOME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02E54">
            <w:pPr>
              <w:jc w:val="right"/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201</w:t>
            </w:r>
            <w:r>
              <w:rPr>
                <w:rFonts w:cs="Arial"/>
                <w:b/>
                <w:bCs/>
                <w:lang w:eastAsia="en-A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02E54">
            <w:pPr>
              <w:jc w:val="right"/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201</w:t>
            </w:r>
            <w:r>
              <w:rPr>
                <w:rFonts w:cs="Arial"/>
                <w:b/>
                <w:bCs/>
                <w:lang w:eastAsia="en-A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2E54">
            <w:pPr>
              <w:jc w:val="center"/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201</w:t>
            </w:r>
            <w:r>
              <w:rPr>
                <w:rFonts w:cs="Arial"/>
                <w:b/>
                <w:bCs/>
                <w:lang w:eastAsia="en-AU"/>
              </w:rPr>
              <w:t>3</w:t>
            </w:r>
          </w:p>
        </w:tc>
      </w:tr>
      <w:tr w:rsidR="00DE2788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788" w:rsidRPr="007F07EE" w:rsidRDefault="00DE2788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2788" w:rsidRPr="00DE2788" w:rsidRDefault="00DE2788" w:rsidP="00FD3370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jc w:val="right"/>
              <w:rPr>
                <w:rFonts w:cs="Arial"/>
                <w:bCs/>
                <w:lang w:eastAsia="en-AU"/>
              </w:rPr>
            </w:pPr>
            <w:r w:rsidRPr="00DE2788">
              <w:rPr>
                <w:rFonts w:cs="Arial"/>
                <w:bCs/>
                <w:lang w:eastAsia="en-AU"/>
              </w:rPr>
              <w:t>384,424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2788" w:rsidRPr="00DE2788" w:rsidRDefault="00DE2788" w:rsidP="00FD3370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jc w:val="right"/>
              <w:rPr>
                <w:rFonts w:cs="Arial"/>
                <w:bCs/>
                <w:lang w:eastAsia="en-AU"/>
              </w:rPr>
            </w:pPr>
            <w:r w:rsidRPr="00DE2788">
              <w:rPr>
                <w:rFonts w:cs="Arial"/>
                <w:bCs/>
                <w:lang w:eastAsia="en-AU"/>
              </w:rPr>
              <w:t>375,187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2788" w:rsidRPr="00DE2788" w:rsidRDefault="00DE2788" w:rsidP="00FD3370">
            <w:pPr>
              <w:spacing w:before="120" w:after="120"/>
              <w:jc w:val="right"/>
              <w:rPr>
                <w:rFonts w:cs="Arial"/>
                <w:bCs/>
                <w:lang w:eastAsia="en-AU"/>
              </w:rPr>
            </w:pPr>
            <w:r w:rsidRPr="00DE2788">
              <w:rPr>
                <w:rFonts w:cs="Arial"/>
                <w:bCs/>
                <w:lang w:eastAsia="en-AU"/>
              </w:rPr>
              <w:t>385,590</w:t>
            </w:r>
          </w:p>
        </w:tc>
      </w:tr>
      <w:tr w:rsidR="00DE2788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788" w:rsidRPr="007F07EE" w:rsidRDefault="00DE2788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TOTAL INCOME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E2788" w:rsidRPr="007F07EE" w:rsidRDefault="00DE2788" w:rsidP="00FD3370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384,424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E2788" w:rsidRPr="007F07EE" w:rsidRDefault="00DE2788" w:rsidP="00FD3370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375,187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E2788" w:rsidRPr="007F07EE" w:rsidRDefault="00DE2788" w:rsidP="00FD3370">
            <w:pPr>
              <w:spacing w:before="120" w:after="120"/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385,590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EXPENDITURE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u w:val="single"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 </w:t>
            </w:r>
            <w:r w:rsidRPr="0097537C">
              <w:rPr>
                <w:rFonts w:cs="Arial"/>
                <w:b/>
                <w:bCs/>
                <w:u w:val="single"/>
                <w:lang w:eastAsia="en-AU"/>
              </w:rPr>
              <w:t xml:space="preserve">Salaries and </w:t>
            </w:r>
            <w:proofErr w:type="spellStart"/>
            <w:r w:rsidRPr="0097537C">
              <w:rPr>
                <w:rFonts w:cs="Arial"/>
                <w:b/>
                <w:bCs/>
                <w:u w:val="single"/>
                <w:lang w:eastAsia="en-AU"/>
              </w:rPr>
              <w:t>Oncosts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301213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2</w:t>
            </w:r>
            <w:r w:rsidRPr="0097537C">
              <w:rPr>
                <w:rFonts w:cs="Arial"/>
                <w:lang w:eastAsia="en-AU"/>
              </w:rPr>
              <w:t xml:space="preserve"> x </w:t>
            </w:r>
            <w:r>
              <w:rPr>
                <w:rFonts w:cs="Arial"/>
                <w:lang w:eastAsia="en-AU"/>
              </w:rPr>
              <w:t xml:space="preserve">Centre </w:t>
            </w:r>
            <w:r w:rsidRPr="0097537C">
              <w:rPr>
                <w:rFonts w:cs="Arial"/>
                <w:lang w:eastAsia="en-AU"/>
              </w:rPr>
              <w:t>Manager</w:t>
            </w:r>
            <w:r>
              <w:rPr>
                <w:rFonts w:cs="Arial"/>
                <w:lang w:eastAsia="en-AU"/>
              </w:rPr>
              <w:t>s</w:t>
            </w:r>
            <w:r w:rsidRPr="0097537C">
              <w:rPr>
                <w:rFonts w:cs="Arial"/>
                <w:lang w:eastAsia="en-AU"/>
              </w:rPr>
              <w:t xml:space="preserve"> @ $80,000 per annum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301213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16</w:t>
            </w:r>
            <w:r w:rsidRPr="0097537C">
              <w:rPr>
                <w:rFonts w:cs="Arial"/>
                <w:lang w:eastAsia="en-AU"/>
              </w:rPr>
              <w:t>0,000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301213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164</w:t>
            </w:r>
            <w:r w:rsidRPr="0097537C">
              <w:rPr>
                <w:rFonts w:cs="Arial"/>
                <w:lang w:eastAsia="en-AU"/>
              </w:rPr>
              <w:t>,</w:t>
            </w:r>
            <w:r>
              <w:rPr>
                <w:rFonts w:cs="Arial"/>
                <w:lang w:eastAsia="en-AU"/>
              </w:rPr>
              <w:t>5</w:t>
            </w:r>
            <w:r w:rsidRPr="0097537C">
              <w:rPr>
                <w:rFonts w:cs="Arial"/>
                <w:lang w:eastAsia="en-AU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       170,000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 xml:space="preserve">13.5% </w:t>
            </w:r>
            <w:proofErr w:type="spellStart"/>
            <w:r w:rsidRPr="0097537C">
              <w:rPr>
                <w:rFonts w:cs="Arial"/>
                <w:lang w:eastAsia="en-AU"/>
              </w:rPr>
              <w:t>Oncosts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301213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2</w:t>
            </w:r>
            <w:r w:rsidRPr="0097537C">
              <w:rPr>
                <w:rFonts w:cs="Arial"/>
                <w:lang w:eastAsia="en-AU"/>
              </w:rPr>
              <w:t>1,</w:t>
            </w:r>
            <w:r>
              <w:rPr>
                <w:rFonts w:cs="Arial"/>
                <w:lang w:eastAsia="en-A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301213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22,207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       22,950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1610AD">
            <w:pPr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lang w:eastAsia="en-AU"/>
              </w:rPr>
              <w:t>2</w:t>
            </w:r>
            <w:r w:rsidRPr="0097537C">
              <w:rPr>
                <w:rFonts w:cs="Arial"/>
                <w:lang w:eastAsia="en-AU"/>
              </w:rPr>
              <w:t xml:space="preserve"> x </w:t>
            </w:r>
            <w:r>
              <w:rPr>
                <w:rFonts w:cs="Arial"/>
                <w:lang w:eastAsia="en-AU"/>
              </w:rPr>
              <w:t>Receptionist/Admin</w:t>
            </w:r>
            <w:r w:rsidRPr="0097537C">
              <w:rPr>
                <w:rFonts w:cs="Arial"/>
                <w:lang w:eastAsia="en-AU"/>
              </w:rPr>
              <w:t xml:space="preserve"> @ $</w:t>
            </w:r>
            <w:r>
              <w:rPr>
                <w:rFonts w:cs="Arial"/>
                <w:lang w:eastAsia="en-AU"/>
              </w:rPr>
              <w:t>31,2</w:t>
            </w:r>
            <w:r w:rsidRPr="0097537C">
              <w:rPr>
                <w:rFonts w:cs="Arial"/>
                <w:lang w:eastAsia="en-AU"/>
              </w:rPr>
              <w:t>00 per annum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1610AD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lang w:eastAsia="en-AU"/>
              </w:rPr>
              <w:t>62,400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1610AD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lang w:eastAsia="en-AU"/>
              </w:rPr>
              <w:t>6</w:t>
            </w:r>
            <w:r w:rsidRPr="0097537C">
              <w:rPr>
                <w:rFonts w:cs="Arial"/>
                <w:lang w:eastAsia="en-AU"/>
              </w:rPr>
              <w:t>4</w:t>
            </w:r>
            <w:r>
              <w:rPr>
                <w:rFonts w:cs="Arial"/>
                <w:lang w:eastAsia="en-AU"/>
              </w:rPr>
              <w:t>,3</w:t>
            </w:r>
            <w:r w:rsidRPr="0097537C">
              <w:rPr>
                <w:rFonts w:cs="Arial"/>
                <w:lang w:eastAsia="en-AU"/>
              </w:rPr>
              <w:t>00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1610AD" w:rsidRDefault="00F02E54" w:rsidP="00FD3370">
            <w:pPr>
              <w:jc w:val="right"/>
              <w:rPr>
                <w:rFonts w:cs="Arial"/>
                <w:bCs/>
                <w:lang w:eastAsia="en-AU"/>
              </w:rPr>
            </w:pPr>
            <w:r w:rsidRPr="001610AD">
              <w:rPr>
                <w:rFonts w:cs="Arial"/>
                <w:bCs/>
                <w:lang w:eastAsia="en-AU"/>
              </w:rPr>
              <w:t>66,200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 xml:space="preserve">13.5% </w:t>
            </w:r>
            <w:proofErr w:type="spellStart"/>
            <w:r w:rsidRPr="0097537C">
              <w:rPr>
                <w:rFonts w:cs="Arial"/>
                <w:lang w:eastAsia="en-AU"/>
              </w:rPr>
              <w:t>Oncosts</w:t>
            </w:r>
            <w:proofErr w:type="spellEnd"/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1610AD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8,424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1610AD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8,</w:t>
            </w:r>
            <w:r w:rsidRPr="0097537C">
              <w:rPr>
                <w:rFonts w:cs="Arial"/>
                <w:lang w:eastAsia="en-AU"/>
              </w:rPr>
              <w:t>6</w:t>
            </w:r>
            <w:r>
              <w:rPr>
                <w:rFonts w:cs="Arial"/>
                <w:lang w:eastAsia="en-AU"/>
              </w:rPr>
              <w:t>8</w:t>
            </w:r>
            <w:r w:rsidRPr="0097537C">
              <w:rPr>
                <w:rFonts w:cs="Arial"/>
                <w:lang w:eastAsia="en-AU"/>
              </w:rPr>
              <w:t>0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          8.940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Contractors/Consultants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5,000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5,000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          5,000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u w:val="single"/>
                <w:lang w:eastAsia="en-AU"/>
              </w:rPr>
            </w:pPr>
            <w:r w:rsidRPr="0097537C">
              <w:rPr>
                <w:rFonts w:cs="Arial"/>
                <w:b/>
                <w:u w:val="single"/>
                <w:lang w:eastAsia="en-AU"/>
              </w:rPr>
              <w:t xml:space="preserve">Subtotal Salaries and </w:t>
            </w:r>
            <w:proofErr w:type="spellStart"/>
            <w:r w:rsidRPr="0097537C">
              <w:rPr>
                <w:rFonts w:cs="Arial"/>
                <w:b/>
                <w:u w:val="single"/>
                <w:lang w:eastAsia="en-AU"/>
              </w:rPr>
              <w:t>Oncosts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257,424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264,687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     273,090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u w:val="single"/>
                <w:lang w:eastAsia="en-AU"/>
              </w:rPr>
            </w:pPr>
            <w:r w:rsidRPr="0097537C">
              <w:rPr>
                <w:rFonts w:cs="Arial"/>
                <w:b/>
                <w:u w:val="single"/>
                <w:lang w:eastAsia="en-AU"/>
              </w:rPr>
              <w:t>Administration and Overheads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3519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/>
                <w:lang w:eastAsia="en-AU"/>
              </w:rPr>
              <w:t xml:space="preserve">Governance (costs associated with </w:t>
            </w:r>
            <w:r>
              <w:rPr>
                <w:rFonts w:cs="Arial"/>
                <w:b/>
                <w:lang w:eastAsia="en-AU"/>
              </w:rPr>
              <w:t>establishing Enterprise Centres</w:t>
            </w:r>
            <w:r w:rsidRPr="0097537C">
              <w:rPr>
                <w:rFonts w:cs="Arial"/>
                <w:b/>
                <w:lang w:eastAsia="en-A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10,500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Infrastructure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Cs/>
                <w:lang w:eastAsia="en-AU"/>
              </w:rPr>
              <w:t>Vehicles and travel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3</w:t>
            </w:r>
            <w:r w:rsidRPr="0097537C">
              <w:rPr>
                <w:rFonts w:cs="Arial"/>
                <w:bCs/>
                <w:lang w:eastAsia="en-AU"/>
              </w:rPr>
              <w:t>,500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351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3</w:t>
            </w:r>
            <w:r w:rsidRPr="0097537C">
              <w:rPr>
                <w:rFonts w:cs="Arial"/>
                <w:bCs/>
                <w:lang w:eastAsia="en-AU"/>
              </w:rPr>
              <w:t>,500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3,500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Cs/>
                <w:lang w:eastAsia="en-AU"/>
              </w:rPr>
              <w:t>Office expenses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31392B" w:rsidP="0031392B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45</w:t>
            </w:r>
            <w:r w:rsidR="00F02E54" w:rsidRPr="0097537C">
              <w:rPr>
                <w:rFonts w:cs="Arial"/>
                <w:bCs/>
                <w:lang w:eastAsia="en-AU"/>
              </w:rPr>
              <w:t>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31392B" w:rsidP="0031392B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45</w:t>
            </w:r>
            <w:r w:rsidR="00F02E54" w:rsidRPr="0097537C">
              <w:rPr>
                <w:rFonts w:cs="Arial"/>
                <w:bCs/>
                <w:lang w:eastAsia="en-AU"/>
              </w:rPr>
              <w:t>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31392B" w:rsidP="0031392B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45</w:t>
            </w:r>
            <w:r w:rsidR="00F02E54">
              <w:rPr>
                <w:rFonts w:cs="Arial"/>
                <w:lang w:eastAsia="en-AU"/>
              </w:rPr>
              <w:t>,000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Cs/>
                <w:lang w:eastAsia="en-AU"/>
              </w:rPr>
              <w:t>Telephone and IT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351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15</w:t>
            </w:r>
            <w:r w:rsidRPr="0097537C">
              <w:rPr>
                <w:rFonts w:cs="Arial"/>
                <w:bCs/>
                <w:lang w:eastAsia="en-AU"/>
              </w:rPr>
              <w:t>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351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15</w:t>
            </w:r>
            <w:r w:rsidRPr="0097537C">
              <w:rPr>
                <w:rFonts w:cs="Arial"/>
                <w:bCs/>
                <w:lang w:eastAsia="en-AU"/>
              </w:rPr>
              <w:t>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16,000</w:t>
            </w: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</w:p>
        </w:tc>
      </w:tr>
      <w:tr w:rsidR="00F02E54" w:rsidRPr="007F07EE" w:rsidTr="00F02E54">
        <w:trPr>
          <w:trHeight w:val="255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Promotion and communication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351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5</w:t>
            </w:r>
            <w:r w:rsidRPr="0097537C">
              <w:rPr>
                <w:rFonts w:cs="Arial"/>
                <w:bCs/>
                <w:lang w:eastAsia="en-AU"/>
              </w:rPr>
              <w:t>,000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0351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5</w:t>
            </w:r>
            <w:r w:rsidRPr="0097537C">
              <w:rPr>
                <w:rFonts w:cs="Arial"/>
                <w:bCs/>
                <w:lang w:eastAsia="en-AU"/>
              </w:rPr>
              <w:t>,000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5,000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lastRenderedPageBreak/>
              <w:t xml:space="preserve">ATC </w:t>
            </w:r>
            <w:r w:rsidRPr="0097537C">
              <w:rPr>
                <w:rFonts w:cs="Arial"/>
                <w:b/>
                <w:bCs/>
                <w:lang w:eastAsia="en-AU"/>
              </w:rPr>
              <w:t>Management Support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535B6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30</w:t>
            </w:r>
            <w:r w:rsidRPr="0097537C">
              <w:rPr>
                <w:rFonts w:cs="Arial"/>
                <w:bCs/>
                <w:lang w:eastAsia="en-AU"/>
              </w:rPr>
              <w:t>,</w:t>
            </w:r>
            <w:r>
              <w:rPr>
                <w:rFonts w:cs="Arial"/>
                <w:bCs/>
                <w:lang w:eastAsia="en-AU"/>
              </w:rPr>
              <w:t>00</w:t>
            </w:r>
            <w:r w:rsidRPr="0097537C">
              <w:rPr>
                <w:rFonts w:cs="Arial"/>
                <w:bCs/>
                <w:lang w:eastAsia="en-AU"/>
              </w:rPr>
              <w:t>0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97537C" w:rsidRDefault="00F02E54" w:rsidP="00535B69">
            <w:pPr>
              <w:jc w:val="right"/>
              <w:rPr>
                <w:rFonts w:cs="Arial"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32</w:t>
            </w:r>
            <w:r w:rsidRPr="0097537C">
              <w:rPr>
                <w:rFonts w:cs="Arial"/>
                <w:bCs/>
                <w:lang w:eastAsia="en-AU"/>
              </w:rPr>
              <w:t>,</w:t>
            </w:r>
            <w:r>
              <w:rPr>
                <w:rFonts w:cs="Arial"/>
                <w:bCs/>
                <w:lang w:eastAsia="en-AU"/>
              </w:rPr>
              <w:t>00</w:t>
            </w:r>
            <w:r w:rsidRPr="0097537C">
              <w:rPr>
                <w:rFonts w:cs="Arial"/>
                <w:bCs/>
                <w:lang w:eastAsia="en-AU"/>
              </w:rPr>
              <w:t>0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      33,000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u w:val="single"/>
                <w:lang w:eastAsia="en-AU"/>
              </w:rPr>
            </w:pPr>
            <w:r w:rsidRPr="0097537C">
              <w:rPr>
                <w:rFonts w:cs="Arial"/>
                <w:b/>
                <w:bCs/>
                <w:u w:val="single"/>
                <w:lang w:eastAsia="en-AU"/>
              </w:rPr>
              <w:t>Subtotal Administration and overheads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31392B" w:rsidP="0031392B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10</w:t>
            </w:r>
            <w:r w:rsidR="00F02E54">
              <w:rPr>
                <w:rFonts w:cs="Arial"/>
                <w:b/>
                <w:bCs/>
                <w:lang w:eastAsia="en-AU"/>
              </w:rPr>
              <w:t>9,000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31392B" w:rsidP="0031392B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100</w:t>
            </w:r>
            <w:r w:rsidR="00F02E54">
              <w:rPr>
                <w:rFonts w:cs="Arial"/>
                <w:b/>
                <w:bCs/>
                <w:lang w:eastAsia="en-AU"/>
              </w:rPr>
              <w:t>,500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31392B" w:rsidP="0031392B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102</w:t>
            </w:r>
            <w:r w:rsidR="00F02E54">
              <w:rPr>
                <w:rFonts w:cs="Arial"/>
                <w:b/>
                <w:bCs/>
                <w:lang w:eastAsia="en-AU"/>
              </w:rPr>
              <w:t>,500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u w:val="single"/>
                <w:lang w:eastAsia="en-AU"/>
              </w:rPr>
            </w:pPr>
            <w:r w:rsidRPr="0097537C">
              <w:rPr>
                <w:rFonts w:cs="Arial"/>
                <w:b/>
                <w:bCs/>
                <w:u w:val="single"/>
                <w:lang w:eastAsia="en-AU"/>
              </w:rPr>
              <w:t>Other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Cs/>
                <w:lang w:eastAsia="en-AU"/>
              </w:rPr>
              <w:t>Initial staff recruitment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535B69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1</w:t>
            </w:r>
            <w:r w:rsidRPr="0097537C">
              <w:rPr>
                <w:rFonts w:cs="Arial"/>
                <w:bCs/>
                <w:lang w:eastAsia="en-AU"/>
              </w:rPr>
              <w:t>,500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Cs/>
                <w:lang w:eastAsia="en-AU"/>
              </w:rPr>
              <w:t>Initial IT set up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535B69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6,500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Cs/>
                <w:lang w:eastAsia="en-AU"/>
              </w:rPr>
              <w:t>Sundries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10,000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10,000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535B69" w:rsidRDefault="00F02E54" w:rsidP="00FD3370">
            <w:pPr>
              <w:jc w:val="right"/>
              <w:rPr>
                <w:rFonts w:cs="Arial"/>
                <w:bCs/>
                <w:lang w:eastAsia="en-AU"/>
              </w:rPr>
            </w:pPr>
            <w:r w:rsidRPr="00535B69">
              <w:rPr>
                <w:rFonts w:cs="Arial"/>
                <w:bCs/>
                <w:lang w:eastAsia="en-AU"/>
              </w:rPr>
              <w:t>10,000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u w:val="single"/>
                <w:lang w:eastAsia="en-AU"/>
              </w:rPr>
            </w:pPr>
            <w:r w:rsidRPr="0097537C">
              <w:rPr>
                <w:rFonts w:cs="Arial"/>
                <w:b/>
                <w:bCs/>
                <w:u w:val="single"/>
                <w:lang w:eastAsia="en-AU"/>
              </w:rPr>
              <w:t>Subtotal Other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535B69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18,000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535B69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10,000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10,000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TOTAL EXPENSES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31392B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3</w:t>
            </w:r>
            <w:r w:rsidR="0031392B">
              <w:rPr>
                <w:rFonts w:cs="Arial"/>
                <w:b/>
                <w:bCs/>
                <w:lang w:eastAsia="en-AU"/>
              </w:rPr>
              <w:t>84</w:t>
            </w:r>
            <w:r>
              <w:rPr>
                <w:rFonts w:cs="Arial"/>
                <w:b/>
                <w:bCs/>
                <w:lang w:eastAsia="en-AU"/>
              </w:rPr>
              <w:t>,424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31392B">
            <w:pPr>
              <w:widowControl w:val="0"/>
              <w:tabs>
                <w:tab w:val="num" w:pos="567"/>
              </w:tabs>
              <w:spacing w:before="120" w:after="120"/>
              <w:ind w:left="1134" w:hanging="1134"/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3</w:t>
            </w:r>
            <w:r w:rsidR="0031392B">
              <w:rPr>
                <w:rFonts w:cs="Arial"/>
                <w:b/>
                <w:bCs/>
                <w:lang w:eastAsia="en-AU"/>
              </w:rPr>
              <w:t>75</w:t>
            </w:r>
            <w:r>
              <w:rPr>
                <w:rFonts w:cs="Arial"/>
                <w:b/>
                <w:bCs/>
                <w:lang w:eastAsia="en-AU"/>
              </w:rPr>
              <w:t>,187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31392B">
            <w:pPr>
              <w:spacing w:before="120" w:after="120"/>
              <w:jc w:val="right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3</w:t>
            </w:r>
            <w:r w:rsidR="0031392B">
              <w:rPr>
                <w:rFonts w:cs="Arial"/>
                <w:b/>
                <w:bCs/>
                <w:lang w:eastAsia="en-AU"/>
              </w:rPr>
              <w:t>85</w:t>
            </w:r>
            <w:r>
              <w:rPr>
                <w:rFonts w:cs="Arial"/>
                <w:b/>
                <w:bCs/>
                <w:lang w:eastAsia="en-AU"/>
              </w:rPr>
              <w:t>,5</w:t>
            </w:r>
            <w:r w:rsidR="0031392B">
              <w:rPr>
                <w:rFonts w:cs="Arial"/>
                <w:b/>
                <w:bCs/>
                <w:lang w:eastAsia="en-AU"/>
              </w:rPr>
              <w:t>9</w:t>
            </w:r>
            <w:r>
              <w:rPr>
                <w:rFonts w:cs="Arial"/>
                <w:b/>
                <w:bCs/>
                <w:lang w:eastAsia="en-AU"/>
              </w:rPr>
              <w:t>0</w:t>
            </w: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b/>
                <w:bCs/>
                <w:lang w:eastAsia="en-AU"/>
              </w:rPr>
            </w:pPr>
            <w:r w:rsidRPr="0097537C">
              <w:rPr>
                <w:rFonts w:cs="Arial"/>
                <w:lang w:eastAsia="en-AU"/>
              </w:rPr>
              <w:t> 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  <w:tr w:rsidR="00F02E54" w:rsidRPr="007F07EE" w:rsidTr="00F02E54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rPr>
                <w:rFonts w:cs="Arial"/>
                <w:lang w:eastAsia="en-AU"/>
              </w:rPr>
            </w:pPr>
            <w:r w:rsidRPr="0097537C">
              <w:rPr>
                <w:rFonts w:cs="Arial"/>
                <w:b/>
                <w:bCs/>
                <w:lang w:eastAsia="en-AU"/>
              </w:rPr>
              <w:t>NET INCOME (LOSS)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E54" w:rsidRPr="007F07EE" w:rsidRDefault="00F02E54" w:rsidP="00FD3370">
            <w:pPr>
              <w:jc w:val="right"/>
              <w:rPr>
                <w:rFonts w:cs="Arial"/>
                <w:b/>
                <w:bCs/>
                <w:lang w:eastAsia="en-AU"/>
              </w:rPr>
            </w:pPr>
          </w:p>
        </w:tc>
      </w:tr>
    </w:tbl>
    <w:p w:rsidR="00301213" w:rsidRPr="00857F3A" w:rsidRDefault="00301213" w:rsidP="00857F3A">
      <w:pPr>
        <w:rPr>
          <w:lang w:val="en-US"/>
        </w:rPr>
      </w:pPr>
    </w:p>
    <w:sectPr w:rsidR="00301213" w:rsidRPr="00857F3A" w:rsidSect="00AE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DC4"/>
    <w:multiLevelType w:val="hybridMultilevel"/>
    <w:tmpl w:val="9CC0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22BD1"/>
    <w:multiLevelType w:val="hybridMultilevel"/>
    <w:tmpl w:val="6AB4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C6BE0"/>
    <w:multiLevelType w:val="hybridMultilevel"/>
    <w:tmpl w:val="649C0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06EE6"/>
    <w:rsid w:val="00012362"/>
    <w:rsid w:val="00055549"/>
    <w:rsid w:val="000C2C24"/>
    <w:rsid w:val="001610AD"/>
    <w:rsid w:val="00164951"/>
    <w:rsid w:val="00181ED7"/>
    <w:rsid w:val="00183BE1"/>
    <w:rsid w:val="001B4993"/>
    <w:rsid w:val="00215730"/>
    <w:rsid w:val="00265914"/>
    <w:rsid w:val="002B58BC"/>
    <w:rsid w:val="002B6888"/>
    <w:rsid w:val="002E465E"/>
    <w:rsid w:val="00301213"/>
    <w:rsid w:val="0031392B"/>
    <w:rsid w:val="00373305"/>
    <w:rsid w:val="00392614"/>
    <w:rsid w:val="003A1FE2"/>
    <w:rsid w:val="003B53EC"/>
    <w:rsid w:val="003E57C6"/>
    <w:rsid w:val="00442155"/>
    <w:rsid w:val="00461934"/>
    <w:rsid w:val="00466FF1"/>
    <w:rsid w:val="005223F1"/>
    <w:rsid w:val="00535B69"/>
    <w:rsid w:val="00537787"/>
    <w:rsid w:val="0055671E"/>
    <w:rsid w:val="00634EF2"/>
    <w:rsid w:val="006D1841"/>
    <w:rsid w:val="00710B55"/>
    <w:rsid w:val="007C0FD0"/>
    <w:rsid w:val="007F4E9A"/>
    <w:rsid w:val="0081735A"/>
    <w:rsid w:val="00846DCA"/>
    <w:rsid w:val="00857F3A"/>
    <w:rsid w:val="008F5702"/>
    <w:rsid w:val="008F6192"/>
    <w:rsid w:val="009A6F5F"/>
    <w:rsid w:val="009C4334"/>
    <w:rsid w:val="00AE056A"/>
    <w:rsid w:val="00AE378E"/>
    <w:rsid w:val="00B2467E"/>
    <w:rsid w:val="00C03FC4"/>
    <w:rsid w:val="00C55CD0"/>
    <w:rsid w:val="00D657E3"/>
    <w:rsid w:val="00D70D4F"/>
    <w:rsid w:val="00D85CC2"/>
    <w:rsid w:val="00DA345A"/>
    <w:rsid w:val="00DE2788"/>
    <w:rsid w:val="00E04EC4"/>
    <w:rsid w:val="00E055FD"/>
    <w:rsid w:val="00E06EE6"/>
    <w:rsid w:val="00E24F57"/>
    <w:rsid w:val="00EE12AD"/>
    <w:rsid w:val="00F02E54"/>
    <w:rsid w:val="00F03519"/>
    <w:rsid w:val="00F261A3"/>
    <w:rsid w:val="00FC78FE"/>
    <w:rsid w:val="00FD3370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C4"/>
    <w:pPr>
      <w:ind w:left="720"/>
      <w:contextualSpacing/>
    </w:pPr>
  </w:style>
  <w:style w:type="table" w:styleId="TableGrid">
    <w:name w:val="Table Grid"/>
    <w:basedOn w:val="TableNormal"/>
    <w:uiPriority w:val="59"/>
    <w:rsid w:val="00556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BruceR</dc:creator>
  <cp:lastModifiedBy>User</cp:lastModifiedBy>
  <cp:revision>2</cp:revision>
  <cp:lastPrinted>2010-07-28T04:29:00Z</cp:lastPrinted>
  <dcterms:created xsi:type="dcterms:W3CDTF">2011-06-21T06:08:00Z</dcterms:created>
  <dcterms:modified xsi:type="dcterms:W3CDTF">2011-06-21T06:08:00Z</dcterms:modified>
</cp:coreProperties>
</file>