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87" w:rsidRPr="000C7B87" w:rsidRDefault="000C7B87" w:rsidP="000C7B87">
      <w:pPr>
        <w:spacing w:after="0"/>
        <w:ind w:right="900"/>
        <w:jc w:val="both"/>
        <w:rPr>
          <w:color w:val="000000"/>
          <w:sz w:val="28"/>
          <w:szCs w:val="28"/>
        </w:rPr>
      </w:pPr>
      <w:r w:rsidRPr="000C7B87">
        <w:rPr>
          <w:color w:val="000000"/>
          <w:sz w:val="28"/>
          <w:szCs w:val="28"/>
        </w:rPr>
        <w:t xml:space="preserve">Directriz 16 </w:t>
      </w:r>
    </w:p>
    <w:p w:rsidR="000C7B87" w:rsidRPr="000C7B87" w:rsidRDefault="000C7B87" w:rsidP="000C7B87">
      <w:pPr>
        <w:spacing w:after="0"/>
        <w:ind w:right="900"/>
        <w:jc w:val="both"/>
        <w:rPr>
          <w:color w:val="000000"/>
          <w:sz w:val="28"/>
          <w:szCs w:val="28"/>
        </w:rPr>
      </w:pPr>
    </w:p>
    <w:p w:rsidR="000C7B87" w:rsidRDefault="000C7B87" w:rsidP="000C7B87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>Catástrofes naturales y</w:t>
      </w:r>
      <w:r>
        <w:rPr>
          <w:b/>
          <w:bCs/>
          <w:color w:val="000000"/>
          <w:sz w:val="24"/>
          <w:szCs w:val="24"/>
        </w:rPr>
        <w:t xml:space="preserve"> </w:t>
      </w:r>
      <w:r w:rsidRPr="000C7B87">
        <w:rPr>
          <w:b/>
          <w:bCs/>
          <w:color w:val="000000"/>
          <w:sz w:val="24"/>
          <w:szCs w:val="24"/>
        </w:rPr>
        <w:t>provocadas por el hombre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C7B87" w:rsidRDefault="000C7B87" w:rsidP="000C7B87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 xml:space="preserve">16.1 </w:t>
      </w:r>
      <w:r w:rsidRPr="000C7B87">
        <w:rPr>
          <w:color w:val="000000"/>
          <w:sz w:val="24"/>
          <w:szCs w:val="24"/>
        </w:rPr>
        <w:t>Los alimentos no deberían utilizarse jamás como medio de presión política y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económica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 xml:space="preserve">16.2 </w:t>
      </w:r>
      <w:r w:rsidRPr="000C7B87">
        <w:rPr>
          <w:color w:val="000000"/>
          <w:sz w:val="24"/>
          <w:szCs w:val="24"/>
        </w:rPr>
        <w:t>Los Estados reafirman las obligaciones asumidas en virtud del derecho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internacional humanitario, y en concreto al convertirse en Partes de los Convenios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de Ginebra de 1949 y/o de los Protocolos Adicionales a éstos de 1977, con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respecto a las necesidades de índole humanitaria de la población civil, incluido,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entre otras cosas, su acceso a los alimentos en situaciones de conflicto armado y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de ocupación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color w:val="000000"/>
          <w:sz w:val="24"/>
          <w:szCs w:val="24"/>
        </w:rPr>
        <w:t>El Protocolo Adicional I estipula, entre otras cosas, que “queda prohibido,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como método de guerra, hacer padecer hambre a las personas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civiles”, que “se prohíbe atacar, destruir, sustraer o inutilizar los bienes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indispensables para la supervivencia de la población civil, tales como los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artículos alimenticios y las zonas agrícolas que los producen, las cosechas,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el ganado, las instalaciones y reservas de agua potable y las obras de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riego, con la intención deliberada de privar de esos bienes, por su valor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como medios para asegurar la subsistencia, a la población civil o a la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parte adversa, sea cual fuere el motivo, ya sea para hacer padecer hambre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a las personas civiles, para provocar su desplazamiento, o con cualquier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otro propósito”, y que “estos bienes no serán objeto de represalias”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 xml:space="preserve">16.3 </w:t>
      </w:r>
      <w:r w:rsidRPr="000C7B87">
        <w:rPr>
          <w:color w:val="000000"/>
          <w:sz w:val="24"/>
          <w:szCs w:val="24"/>
        </w:rPr>
        <w:t>En situaciones de ocupación, el derecho internacional humanitario prevé,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entre otras cosas: que la potencia ocupante, en el mayor grado posible en función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de los medios a su disposición, tiene el deber de garantizar los suministros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alimentarios y médicos a la población; que debería, en particular, aportar los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productos alimenticios, suministros médicos y otros artículos necesarios, si los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b/>
          <w:bCs/>
          <w:color w:val="FFFFFF"/>
          <w:sz w:val="24"/>
          <w:szCs w:val="24"/>
        </w:rPr>
        <w:t>32</w:t>
      </w:r>
      <w:r>
        <w:rPr>
          <w:b/>
          <w:bCs/>
          <w:color w:val="FFFFFF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recursos del territorio ocupado son insuficientes, y que si la totalidad o parte de la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población de un territorio ocupado no recibe un suministro adecuado, la potencia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ocupante deberá acordar planes de socorro en nombre de la citada población y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deberá facilitarlos con todos los medios a su disposición2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 xml:space="preserve">16.4 </w:t>
      </w:r>
      <w:r w:rsidRPr="000C7B87">
        <w:rPr>
          <w:color w:val="000000"/>
          <w:sz w:val="24"/>
          <w:szCs w:val="24"/>
        </w:rPr>
        <w:t>Los Estados reafirman las obligaciones asumidas con respecto a la protección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y la seguridad del personal humanitario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 xml:space="preserve">16.5 </w:t>
      </w:r>
      <w:r w:rsidRPr="000C7B87">
        <w:rPr>
          <w:color w:val="000000"/>
          <w:sz w:val="24"/>
          <w:szCs w:val="24"/>
        </w:rPr>
        <w:t>Los Estados deberían hacer todo lo posible para asegurarse de que los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refugiados y las personas desplazadas internamente tengan acceso, en todo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lastRenderedPageBreak/>
        <w:t>momento, a alimentos adecuados. A este respecto, se debería alentar a los Estados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y otros interesados pertinentes a que, al ocuparse de situaciones de desplazamiento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interno, empleen los principios y las normas establecidos en los Principios rectores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aplicables a los desplazamientos internos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 xml:space="preserve">16.6 </w:t>
      </w:r>
      <w:r w:rsidRPr="000C7B87">
        <w:rPr>
          <w:color w:val="000000"/>
          <w:sz w:val="24"/>
          <w:szCs w:val="24"/>
        </w:rPr>
        <w:t>En el caso de que se produzcan emergencias debidas a causas naturales o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provocadas por el hombre, los Estados deberían proporcionar ayuda alimentaria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a las personas necesitadas, podrán pedir asistencia internacional si sus propios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recursos no bastan, y deberían facilitar el acceso, en condiciones seguras y sin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trabas, de dicha asistencia, de conformidad con el derecho internacional y los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principios humanitarios reconocidos con carácter universal, teniendo presentes las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circunstancias, las tradiciones alimentarias y las culturas locales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 xml:space="preserve">16.7 </w:t>
      </w:r>
      <w:r w:rsidRPr="000C7B87">
        <w:rPr>
          <w:color w:val="000000"/>
          <w:sz w:val="24"/>
          <w:szCs w:val="24"/>
        </w:rPr>
        <w:t>Los Estados deberían implantar mecanismos adecuados y eficaces de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alerta para prevenir o mitigar los efectos de las emergencias de origen natural o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provocadas por el hombre. Los sistemas de alerta deberían basarse en las normas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y la cooperación internacionales, así como en datos fiables y desagregados, y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deberían ser objeto de seguimiento constante. Los Estados deberían adoptar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medidas apropiadas de preparación para las emergencias, por ejemplo, el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mantenimiento de existencias de alimentos para la adquisición de productos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alimenticios, y tomar medidas con miras a establecer sistemas adecuados de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distribución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color w:val="000000"/>
          <w:sz w:val="24"/>
          <w:szCs w:val="24"/>
        </w:rPr>
        <w:t>2 IV Convenio de Ginebra de 1949 relativo a la protección debida a las personas civiles en tiempo de guerra,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artículos 55 y 59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  <w:r w:rsidRPr="000C7B87">
        <w:rPr>
          <w:b/>
          <w:bCs/>
          <w:color w:val="000000"/>
          <w:sz w:val="24"/>
          <w:szCs w:val="24"/>
        </w:rPr>
        <w:t xml:space="preserve">16.8 </w:t>
      </w:r>
      <w:r w:rsidRPr="000C7B87">
        <w:rPr>
          <w:color w:val="000000"/>
          <w:sz w:val="24"/>
          <w:szCs w:val="24"/>
        </w:rPr>
        <w:t>Se invita a los Estados a examinar la posibilidad de establecer mecanismos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para evaluar los efectos nutricionales y conocer mejor las estrategias de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supervivencia de las familias afectadas en el caso de catástrofes naturales o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provocadas por el hombre. Esta información debería servir de base para la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orientación, formulación, aplicación y evaluación de los programas de socorro,</w:t>
      </w:r>
      <w:r>
        <w:rPr>
          <w:color w:val="000000"/>
          <w:sz w:val="24"/>
          <w:szCs w:val="24"/>
        </w:rPr>
        <w:t xml:space="preserve"> </w:t>
      </w:r>
      <w:r w:rsidRPr="000C7B87">
        <w:rPr>
          <w:color w:val="000000"/>
          <w:sz w:val="24"/>
          <w:szCs w:val="24"/>
        </w:rPr>
        <w:t>recuperación y aumento de la capacidad de resistencia</w:t>
      </w:r>
      <w:r>
        <w:rPr>
          <w:color w:val="000000"/>
          <w:sz w:val="24"/>
          <w:szCs w:val="24"/>
        </w:rPr>
        <w:t>.</w:t>
      </w:r>
    </w:p>
    <w:p w:rsidR="000C7B87" w:rsidRDefault="000C7B87" w:rsidP="000C7B87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0C7B87" w:rsidRDefault="000C7B87" w:rsidP="000C7B87">
      <w:pPr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43D7" w:rsidRPr="000C7B87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B87"/>
    <w:rsid w:val="000601BD"/>
    <w:rsid w:val="000778F5"/>
    <w:rsid w:val="000C7B87"/>
    <w:rsid w:val="000D6856"/>
    <w:rsid w:val="00101E28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D4B28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3712</Characters>
  <Application>Microsoft Office Word</Application>
  <DocSecurity>0</DocSecurity>
  <Lines>30</Lines>
  <Paragraphs>8</Paragraphs>
  <ScaleCrop>false</ScaleCrop>
  <Company>FIAN HONDURAS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2</cp:revision>
  <dcterms:created xsi:type="dcterms:W3CDTF">2011-05-12T20:07:00Z</dcterms:created>
  <dcterms:modified xsi:type="dcterms:W3CDTF">2011-05-12T20:10:00Z</dcterms:modified>
</cp:coreProperties>
</file>