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5A" w:rsidRPr="0025655A" w:rsidRDefault="0025655A" w:rsidP="0025655A">
      <w:pPr>
        <w:pStyle w:val="Pa3"/>
        <w:rPr>
          <w:b/>
          <w:bCs/>
          <w:color w:val="000000"/>
          <w:sz w:val="22"/>
          <w:szCs w:val="22"/>
        </w:rPr>
      </w:pPr>
      <w:r w:rsidRPr="0025655A">
        <w:rPr>
          <w:b/>
          <w:bCs/>
          <w:color w:val="000000"/>
          <w:sz w:val="22"/>
          <w:szCs w:val="22"/>
        </w:rPr>
        <w:t>PREPARACION DEL TRABAJO DE CAMPO.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1"/>
        <w:jc w:val="both"/>
        <w:rPr>
          <w:b/>
          <w:bCs/>
          <w:color w:val="000000"/>
          <w:sz w:val="22"/>
          <w:szCs w:val="22"/>
        </w:rPr>
      </w:pPr>
      <w:r w:rsidRPr="0025655A">
        <w:rPr>
          <w:b/>
          <w:bCs/>
          <w:color w:val="000000"/>
          <w:sz w:val="22"/>
          <w:szCs w:val="22"/>
        </w:rPr>
        <w:t>Exploración a las diferentes formas de organización de los Adultos Mayores.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Default="0025655A" w:rsidP="0025655A">
      <w:pPr>
        <w:pStyle w:val="Pa1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 xml:space="preserve">Selección de las categorías y la metodología a seguir </w:t>
      </w:r>
      <w:proofErr w:type="spellStart"/>
      <w:r w:rsidRPr="0025655A">
        <w:rPr>
          <w:color w:val="000000"/>
          <w:sz w:val="22"/>
          <w:szCs w:val="22"/>
        </w:rPr>
        <w:t>e</w:t>
      </w:r>
      <w:proofErr w:type="spellEnd"/>
      <w:r w:rsidRPr="0025655A">
        <w:rPr>
          <w:color w:val="000000"/>
          <w:sz w:val="22"/>
          <w:szCs w:val="22"/>
        </w:rPr>
        <w:t xml:space="preserve"> el encuentro dialogado con los grupos de mayores: “Los Adultos Mayores se expresan y proponen”</w:t>
      </w:r>
    </w:p>
    <w:p w:rsidR="003007E9" w:rsidRPr="003007E9" w:rsidRDefault="003007E9" w:rsidP="003007E9"/>
    <w:p w:rsidR="0025655A" w:rsidRPr="0025655A" w:rsidRDefault="0025655A" w:rsidP="0025655A">
      <w:pPr>
        <w:pStyle w:val="Pa1"/>
        <w:jc w:val="both"/>
        <w:rPr>
          <w:b/>
          <w:bCs/>
          <w:color w:val="000000"/>
          <w:sz w:val="22"/>
          <w:szCs w:val="22"/>
        </w:rPr>
      </w:pPr>
      <w:r w:rsidRPr="0025655A">
        <w:rPr>
          <w:b/>
          <w:bCs/>
          <w:color w:val="000000"/>
          <w:sz w:val="22"/>
          <w:szCs w:val="22"/>
        </w:rPr>
        <w:t>Convocatoria a grupos focales.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1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Se invitaron a integrantes de las diferentes formas de organización a los que pertenecen las per</w:t>
      </w:r>
      <w:r w:rsidRPr="0025655A">
        <w:rPr>
          <w:color w:val="000000"/>
          <w:sz w:val="22"/>
          <w:szCs w:val="22"/>
        </w:rPr>
        <w:softHyphen/>
        <w:t>sonas mayores en la zona urbana y rural del Municipio.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5"/>
        <w:ind w:left="400" w:hanging="140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• Grupos de adultos mayores independientes con representación de un adulto por comuna, en su mayoría pertenecientes a los comités consultivos o presidenta(es) de asociaciones.</w:t>
      </w:r>
    </w:p>
    <w:p w:rsidR="0025655A" w:rsidRPr="0025655A" w:rsidRDefault="0025655A" w:rsidP="0025655A">
      <w:pPr>
        <w:pStyle w:val="Pa5"/>
        <w:ind w:left="400" w:hanging="140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• Líderes comunitarios.</w:t>
      </w:r>
    </w:p>
    <w:p w:rsidR="0025655A" w:rsidRPr="0025655A" w:rsidRDefault="0025655A" w:rsidP="0025655A">
      <w:pPr>
        <w:pStyle w:val="Pa5"/>
        <w:ind w:left="400" w:hanging="140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• Asociaciones de jubilados.</w:t>
      </w:r>
    </w:p>
    <w:p w:rsidR="0025655A" w:rsidRPr="0025655A" w:rsidRDefault="0025655A" w:rsidP="0025655A">
      <w:pPr>
        <w:pStyle w:val="Pa5"/>
        <w:ind w:left="400" w:hanging="140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• Grupos con apoyo institucional.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3"/>
        <w:rPr>
          <w:b/>
          <w:bCs/>
          <w:color w:val="000000"/>
          <w:sz w:val="22"/>
          <w:szCs w:val="22"/>
        </w:rPr>
      </w:pPr>
      <w:r w:rsidRPr="0025655A">
        <w:rPr>
          <w:b/>
          <w:bCs/>
          <w:color w:val="000000"/>
          <w:sz w:val="22"/>
          <w:szCs w:val="22"/>
        </w:rPr>
        <w:t>FASE 3: TRABAJO DE CAMPO.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1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La metodología utilizada en el trabajo de campo fue la Investigación Acción Participación IAP. Con dos de sus elementos estratégicos: la cartografía social y la construcción de mapas con</w:t>
      </w:r>
      <w:r w:rsidRPr="0025655A">
        <w:rPr>
          <w:color w:val="000000"/>
          <w:sz w:val="22"/>
          <w:szCs w:val="22"/>
        </w:rPr>
        <w:softHyphen/>
        <w:t>ceptuales, este proceso permitió la elaboración colectiva de mapas conceptuales de la situación actual del</w:t>
      </w:r>
      <w:r w:rsidR="00E850FC">
        <w:rPr>
          <w:color w:val="000000"/>
          <w:sz w:val="22"/>
          <w:szCs w:val="22"/>
        </w:rPr>
        <w:t xml:space="preserve"> adulto mayor en palmira</w:t>
      </w:r>
      <w:r w:rsidRPr="0025655A">
        <w:rPr>
          <w:color w:val="000000"/>
          <w:sz w:val="22"/>
          <w:szCs w:val="22"/>
        </w:rPr>
        <w:t>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1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Los asistentes, organizados en grupos, se</w:t>
      </w:r>
      <w:r w:rsidR="00E850FC">
        <w:rPr>
          <w:color w:val="000000"/>
          <w:sz w:val="22"/>
          <w:szCs w:val="22"/>
        </w:rPr>
        <w:t xml:space="preserve"> ubicaron frente al mapa de </w:t>
      </w:r>
      <w:proofErr w:type="spellStart"/>
      <w:r w:rsidR="00E850FC">
        <w:rPr>
          <w:color w:val="000000"/>
          <w:sz w:val="22"/>
          <w:szCs w:val="22"/>
        </w:rPr>
        <w:t>palmira</w:t>
      </w:r>
      <w:proofErr w:type="spellEnd"/>
      <w:r w:rsidRPr="0025655A">
        <w:rPr>
          <w:color w:val="000000"/>
          <w:sz w:val="22"/>
          <w:szCs w:val="22"/>
        </w:rPr>
        <w:t xml:space="preserve"> y caracterizaron su propia realidad mediante el uso de las siguientes técnicas: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5"/>
        <w:ind w:left="400" w:hanging="140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 xml:space="preserve">• La cartografía social es una metodología que permite a las comunidades conocer y construir un conocimiento integral de su territorio para que puedan elegir una mejor manera de vivirlo. Es una propuesta conceptual y metodológica que hace uso de instrumentos técnicos y </w:t>
      </w:r>
      <w:r w:rsidR="00B905C2" w:rsidRPr="0025655A">
        <w:rPr>
          <w:color w:val="000000"/>
          <w:sz w:val="22"/>
          <w:szCs w:val="22"/>
        </w:rPr>
        <w:t>vivenciales</w:t>
      </w:r>
      <w:r w:rsidRPr="0025655A">
        <w:rPr>
          <w:color w:val="000000"/>
          <w:sz w:val="22"/>
          <w:szCs w:val="22"/>
        </w:rPr>
        <w:t xml:space="preserve">. Esta técnica permitió construir mapas de recursos de potencial humano, de redes de conflictos así como la historia presente y futuro de los adultos mayores en </w:t>
      </w:r>
      <w:r w:rsidR="00E850FC">
        <w:rPr>
          <w:color w:val="000000"/>
          <w:sz w:val="22"/>
          <w:szCs w:val="22"/>
        </w:rPr>
        <w:t>Palmira</w:t>
      </w:r>
      <w:r w:rsidR="00B905C2" w:rsidRPr="0025655A">
        <w:rPr>
          <w:color w:val="000000"/>
          <w:sz w:val="22"/>
          <w:szCs w:val="22"/>
        </w:rPr>
        <w:t>. Plan</w:t>
      </w:r>
      <w:r w:rsidRPr="0025655A">
        <w:rPr>
          <w:color w:val="000000"/>
          <w:sz w:val="22"/>
          <w:szCs w:val="22"/>
        </w:rPr>
        <w:t xml:space="preserve"> Indicativo de la  Mapas conceptuales en oposición con los mapas tradicionales que son elaborados por téc</w:t>
      </w:r>
      <w:r w:rsidRPr="0025655A">
        <w:rPr>
          <w:color w:val="000000"/>
          <w:sz w:val="22"/>
          <w:szCs w:val="22"/>
        </w:rPr>
        <w:softHyphen/>
        <w:t>nicos, éstos se elaboran con la comunidad en un proceso participativo, poniendo en común el saber colectivo de manera horizontal y de esta manera legitimarlo. Mediante esta técnica los miembros de la comunidad analizan colectivamente los problemas sociales, en un es</w:t>
      </w:r>
      <w:r w:rsidRPr="0025655A">
        <w:rPr>
          <w:color w:val="000000"/>
          <w:sz w:val="22"/>
          <w:szCs w:val="22"/>
        </w:rPr>
        <w:softHyphen/>
        <w:t>fuerzo por comprenderlos y solucionarlos. Es una metáfora que parte desde una situación conocida o insuficientemente conocida, a una situación más abstracta, simbólica que salta a la vista y traduce la complejidad del entramado social.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5"/>
        <w:ind w:left="400" w:hanging="140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• Cuestionario: Adicionalmente los participantes contestaron un cuestionario con preguntas abiertas, cuyo objetivo estaba dirigido a medir el grado de conocimiento de la Política Pú</w:t>
      </w:r>
      <w:r w:rsidRPr="0025655A">
        <w:rPr>
          <w:color w:val="000000"/>
          <w:sz w:val="22"/>
          <w:szCs w:val="22"/>
        </w:rPr>
        <w:softHyphen/>
        <w:t>blica para el Adulto Mayor, sus apreciaciones sobre la calidad de vida de los mayores y sus propuestas para el mejoramiento.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1"/>
        <w:jc w:val="both"/>
        <w:rPr>
          <w:b/>
          <w:bCs/>
          <w:color w:val="000000"/>
          <w:sz w:val="22"/>
          <w:szCs w:val="22"/>
        </w:rPr>
      </w:pPr>
      <w:r w:rsidRPr="0025655A">
        <w:rPr>
          <w:b/>
          <w:bCs/>
          <w:color w:val="000000"/>
          <w:sz w:val="22"/>
          <w:szCs w:val="22"/>
        </w:rPr>
        <w:t>Revisión del plan de acción 2004 – 2007.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1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Se seleccionaron las metas, indicadores y líneas de base, planeadas para el 2007 por cada dependencia municipal y que se relacionan con los grupos de personas mayores y/o ciclo vital re</w:t>
      </w:r>
      <w:r w:rsidRPr="0025655A">
        <w:rPr>
          <w:color w:val="000000"/>
          <w:sz w:val="22"/>
          <w:szCs w:val="22"/>
        </w:rPr>
        <w:softHyphen/>
        <w:t xml:space="preserve">tomándose además los Planes Generales de Trabajo de las Secretarías de algunas secretarías, con el propósito de identificar tareas específicas pendientes a ejecutar en el 2007. Este trabajo permitió identificar en algunas Secretarías las acciones que directa o indirectamente planearon a favor de las personas mayores o para la población </w:t>
      </w:r>
      <w:r w:rsidR="00B905C2" w:rsidRPr="0025655A">
        <w:rPr>
          <w:color w:val="000000"/>
          <w:sz w:val="22"/>
          <w:szCs w:val="22"/>
        </w:rPr>
        <w:t>envejécete</w:t>
      </w:r>
      <w:r w:rsidRPr="0025655A">
        <w:rPr>
          <w:color w:val="000000"/>
          <w:sz w:val="22"/>
          <w:szCs w:val="22"/>
        </w:rPr>
        <w:t>, para la vigencia 2006-2007. Con base en esta información se solicitó a las Secretarias ratificar sí las tareas seguían vigentes o si habían nuevas actividades.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Default="0025655A" w:rsidP="0025655A">
      <w:pPr>
        <w:pStyle w:val="Pa1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 xml:space="preserve">Además se hizo un análisis </w:t>
      </w:r>
      <w:r w:rsidR="00B905C2" w:rsidRPr="0025655A">
        <w:rPr>
          <w:color w:val="000000"/>
          <w:sz w:val="22"/>
          <w:szCs w:val="22"/>
        </w:rPr>
        <w:t>correlacionar</w:t>
      </w:r>
      <w:r w:rsidRPr="0025655A">
        <w:rPr>
          <w:color w:val="000000"/>
          <w:sz w:val="22"/>
          <w:szCs w:val="22"/>
        </w:rPr>
        <w:t xml:space="preserve"> entre los lineamientos de la Estrategia Regional para América Latina, la Política Públic</w:t>
      </w:r>
      <w:r w:rsidR="00E850FC">
        <w:rPr>
          <w:color w:val="000000"/>
          <w:sz w:val="22"/>
          <w:szCs w:val="22"/>
        </w:rPr>
        <w:t>a del Adulto Mayor en el municipio de Palmira</w:t>
      </w:r>
      <w:r w:rsidRPr="0025655A">
        <w:rPr>
          <w:color w:val="000000"/>
          <w:sz w:val="22"/>
          <w:szCs w:val="22"/>
        </w:rPr>
        <w:t xml:space="preserve"> el Plan de Desarrollo y Plan de Acción Municipal 2004-2007. Adicional a esto se realizó el diagnóstico participativo, la revisión de antecedentes e investigaciones que permitieron caracterizar la situación de las perso</w:t>
      </w:r>
      <w:r w:rsidRPr="0025655A">
        <w:rPr>
          <w:color w:val="000000"/>
          <w:sz w:val="22"/>
          <w:szCs w:val="22"/>
        </w:rPr>
        <w:softHyphen/>
        <w:t>nas mayores. Todos estos insumos aportaron elementos para la elaboración del Plan Indicativo para la Política Pública Adulto Mayor en Cali.</w:t>
      </w:r>
    </w:p>
    <w:p w:rsidR="0025655A" w:rsidRPr="0025655A" w:rsidRDefault="0025655A" w:rsidP="0025655A"/>
    <w:p w:rsidR="0025655A" w:rsidRPr="0025655A" w:rsidRDefault="0025655A" w:rsidP="0025655A">
      <w:pPr>
        <w:pStyle w:val="Pa1"/>
        <w:jc w:val="both"/>
        <w:rPr>
          <w:b/>
          <w:bCs/>
          <w:color w:val="000000"/>
          <w:sz w:val="22"/>
          <w:szCs w:val="22"/>
        </w:rPr>
      </w:pPr>
      <w:r w:rsidRPr="0025655A">
        <w:rPr>
          <w:b/>
          <w:bCs/>
          <w:color w:val="000000"/>
          <w:sz w:val="22"/>
          <w:szCs w:val="22"/>
        </w:rPr>
        <w:t>El Plan indicativo.</w:t>
      </w:r>
    </w:p>
    <w:p w:rsidR="0025655A" w:rsidRPr="0025655A" w:rsidRDefault="0025655A" w:rsidP="0025655A">
      <w:pPr>
        <w:rPr>
          <w:rFonts w:ascii="Arial" w:hAnsi="Arial" w:cs="Arial"/>
        </w:rPr>
      </w:pPr>
    </w:p>
    <w:p w:rsidR="0025655A" w:rsidRPr="0025655A" w:rsidRDefault="0025655A" w:rsidP="0025655A">
      <w:pPr>
        <w:pStyle w:val="Pa1"/>
        <w:jc w:val="both"/>
        <w:rPr>
          <w:color w:val="000000"/>
          <w:sz w:val="22"/>
          <w:szCs w:val="22"/>
        </w:rPr>
      </w:pPr>
      <w:r w:rsidRPr="0025655A">
        <w:rPr>
          <w:color w:val="000000"/>
          <w:sz w:val="22"/>
          <w:szCs w:val="22"/>
        </w:rPr>
        <w:t>Se elaboraron dos planes indicativos, uno para el último año del Plan de Desarrollo Municipal 2004-2007 y otro, que en términos genéricos es una guía para futuros Planes de Desarrollo y los modos como pueden establecerse compromisos intersectoriales para promover el desarrollo de los adultos mayores y mejorar las condiciones de sus organizaciones comunitarias.</w:t>
      </w:r>
    </w:p>
    <w:p w:rsidR="00465DEB" w:rsidRPr="0025655A" w:rsidRDefault="0025655A" w:rsidP="0025655A">
      <w:pPr>
        <w:rPr>
          <w:rFonts w:ascii="Arial" w:hAnsi="Arial" w:cs="Arial"/>
        </w:rPr>
      </w:pPr>
      <w:r w:rsidRPr="0025655A">
        <w:rPr>
          <w:rFonts w:ascii="Arial" w:hAnsi="Arial" w:cs="Arial"/>
          <w:color w:val="000000"/>
        </w:rPr>
        <w:t xml:space="preserve">El primer Plan Indicativo fue elaborado desde los Objetivos del Plan de Desarrollo Municipal 2004-2007, la Política Pública </w:t>
      </w:r>
      <w:r w:rsidR="003B2BF3">
        <w:rPr>
          <w:rFonts w:ascii="Arial" w:hAnsi="Arial" w:cs="Arial"/>
          <w:color w:val="000000"/>
        </w:rPr>
        <w:t>Adulto Mayor municipio de Palmira</w:t>
      </w:r>
      <w:r w:rsidRPr="0025655A">
        <w:rPr>
          <w:rFonts w:ascii="Arial" w:hAnsi="Arial" w:cs="Arial"/>
          <w:color w:val="000000"/>
        </w:rPr>
        <w:t xml:space="preserve"> y las necesidades expresadas por los adultos mayores y el segundo se realizó a partir del diagnóstico de las personas mayores del Municipio y en correlación directa con los objetivos, líneas de Acción</w:t>
      </w:r>
    </w:p>
    <w:sectPr w:rsidR="00465DEB" w:rsidRPr="0025655A" w:rsidSect="00465D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5655A"/>
    <w:rsid w:val="0025655A"/>
    <w:rsid w:val="002E430B"/>
    <w:rsid w:val="003007E9"/>
    <w:rsid w:val="003B2BF3"/>
    <w:rsid w:val="00465DEB"/>
    <w:rsid w:val="00712DE2"/>
    <w:rsid w:val="008976BD"/>
    <w:rsid w:val="00B905C2"/>
    <w:rsid w:val="00E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655A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25655A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25655A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25655A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3900</Characters>
  <Application>Microsoft Office Word</Application>
  <DocSecurity>0</DocSecurity>
  <Lines>32</Lines>
  <Paragraphs>9</Paragraphs>
  <ScaleCrop>false</ScaleCrop>
  <Company>Windows XP Colossus Edition 2 Reloaded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6</cp:revision>
  <dcterms:created xsi:type="dcterms:W3CDTF">2012-11-28T22:21:00Z</dcterms:created>
  <dcterms:modified xsi:type="dcterms:W3CDTF">2012-12-04T23:23:00Z</dcterms:modified>
</cp:coreProperties>
</file>