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A5" w:rsidRDefault="009423C0" w:rsidP="00942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 w:themeColor="text1"/>
          <w:sz w:val="29"/>
          <w:szCs w:val="29"/>
        </w:rPr>
        <w:t>NORMAS INTERNACIONALES DE CONTABILIDAD</w:t>
      </w:r>
    </w:p>
    <w:p w:rsidR="009423C0" w:rsidRDefault="009423C0" w:rsidP="00942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9"/>
          <w:szCs w:val="29"/>
        </w:rPr>
      </w:pPr>
    </w:p>
    <w:p w:rsidR="009423C0" w:rsidRPr="009423C0" w:rsidRDefault="009423C0" w:rsidP="00942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9"/>
          <w:szCs w:val="29"/>
        </w:rPr>
      </w:pPr>
      <w:r w:rsidRPr="009423C0">
        <w:rPr>
          <w:rFonts w:ascii="Times New Roman" w:hAnsi="Times New Roman" w:cs="Times New Roman"/>
          <w:bCs/>
          <w:color w:val="000000" w:themeColor="text1"/>
          <w:sz w:val="29"/>
          <w:szCs w:val="29"/>
        </w:rPr>
        <w:t>Las normas internacionales de contabilidad so</w:t>
      </w:r>
      <w:r>
        <w:rPr>
          <w:rFonts w:ascii="Times New Roman" w:hAnsi="Times New Roman" w:cs="Times New Roman"/>
          <w:bCs/>
          <w:color w:val="000000" w:themeColor="text1"/>
          <w:sz w:val="29"/>
          <w:szCs w:val="29"/>
        </w:rPr>
        <w:t xml:space="preserve">n </w:t>
      </w:r>
    </w:p>
    <w:p w:rsidR="009423C0" w:rsidRPr="009423C0" w:rsidRDefault="009423C0" w:rsidP="00942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9"/>
          <w:szCs w:val="29"/>
        </w:rPr>
      </w:pPr>
    </w:p>
    <w:p w:rsidR="006904A5" w:rsidRPr="009423C0" w:rsidRDefault="006904A5" w:rsidP="0069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49"/>
        </w:rPr>
      </w:pPr>
      <w:r w:rsidRPr="009423C0">
        <w:rPr>
          <w:rFonts w:ascii="Times New Roman" w:hAnsi="Times New Roman" w:cs="Times New Roman"/>
          <w:b/>
          <w:bCs/>
          <w:color w:val="000000"/>
          <w:sz w:val="24"/>
          <w:szCs w:val="49"/>
        </w:rPr>
        <w:t xml:space="preserve">NIC 1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4"/>
          <w:szCs w:val="49"/>
        </w:rPr>
        <w:t>Presentación de Estados Financieros</w:t>
      </w:r>
    </w:p>
    <w:p w:rsidR="00F14FD7" w:rsidRPr="009423C0" w:rsidRDefault="00F14FD7" w:rsidP="00F1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904A5" w:rsidRPr="009423C0" w:rsidRDefault="006904A5" w:rsidP="00F1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Esta Norma establece las bases para la presentación de los estados financi</w:t>
      </w:r>
      <w:r w:rsidR="00F14FD7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eros de propósito general, para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asegurar que los mismos sean comparables, ta</w:t>
      </w:r>
      <w:r w:rsidR="00F14FD7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nto con los estados financieros de la misma entidad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correspondientes a periodos an</w:t>
      </w:r>
      <w:r w:rsidR="00F14FD7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teriores, como con los de otras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entidades. Esta N</w:t>
      </w:r>
      <w:r w:rsidR="00F14FD7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orma establece requerimientos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generales para la presentación de los estados financieros, guías para determ</w:t>
      </w:r>
      <w:r w:rsidR="00F14FD7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inar su estructura y requisitos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mínimos sobre su contenido.</w:t>
      </w:r>
    </w:p>
    <w:p w:rsidR="00F14FD7" w:rsidRPr="009423C0" w:rsidRDefault="00F14FD7" w:rsidP="00F1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904A5" w:rsidRPr="009423C0" w:rsidRDefault="006904A5" w:rsidP="0069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  <w:r w:rsidRPr="009423C0">
        <w:rPr>
          <w:rFonts w:ascii="Times New Roman" w:hAnsi="Times New Roman" w:cs="Times New Roman"/>
          <w:b/>
          <w:bCs/>
          <w:color w:val="000000"/>
          <w:sz w:val="28"/>
          <w:szCs w:val="49"/>
        </w:rPr>
        <w:t xml:space="preserve">NIC 2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Inventarios</w:t>
      </w:r>
    </w:p>
    <w:p w:rsidR="00BB5EFA" w:rsidRPr="009423C0" w:rsidRDefault="00BB5EFA" w:rsidP="0069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</w:p>
    <w:p w:rsidR="006904A5" w:rsidRPr="009423C0" w:rsidRDefault="006904A5" w:rsidP="00DE0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El objetivo de esta Norma es prescribir el tratamiento contable de los inventa</w:t>
      </w:r>
      <w:r w:rsidR="00DE08FF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rios. Un tema fundamental en la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contabilidad de los inventarios e</w:t>
      </w:r>
      <w:r w:rsidR="00DE08FF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s la cantidad de costo que debe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reconocer</w:t>
      </w:r>
      <w:r w:rsidR="00DE08FF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se como un activo, para que sea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diferido hasta que los ingresos correspondientes sean reconocidos. Esta Nor</w:t>
      </w:r>
      <w:r w:rsidR="00DE08FF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ma suministra una guía práctica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par</w:t>
      </w:r>
      <w:r w:rsidR="00DE08FF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a la determinación de ese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costo, así como para el subsiguiente reconocimi</w:t>
      </w:r>
      <w:r w:rsidR="00DE08FF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ento como un gasto del periodo,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incluyendo también cualquier deterioro que rebaje el importe en libros al</w:t>
      </w:r>
      <w:r w:rsidR="00DE08FF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valor neto realizable. También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suministra directrices sobre las fórmulas del costo que se </w:t>
      </w:r>
      <w:r w:rsidR="00DE08FF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usan para atribuir costos a los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inventarios.</w:t>
      </w:r>
    </w:p>
    <w:p w:rsidR="00DE08FF" w:rsidRPr="009423C0" w:rsidRDefault="00DE08FF" w:rsidP="00DE0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904A5" w:rsidRPr="009423C0" w:rsidRDefault="006904A5" w:rsidP="00DE0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Los inventarios se medirán al costo o al valor neto realizable, según cual sea menor.</w:t>
      </w:r>
    </w:p>
    <w:p w:rsidR="00C6105D" w:rsidRPr="009423C0" w:rsidRDefault="00C6105D" w:rsidP="00DE0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904A5" w:rsidRPr="009423C0" w:rsidRDefault="006904A5" w:rsidP="0069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49"/>
        </w:rPr>
      </w:pPr>
      <w:r w:rsidRPr="009423C0">
        <w:rPr>
          <w:rFonts w:ascii="Times New Roman" w:hAnsi="Times New Roman" w:cs="Times New Roman"/>
          <w:b/>
          <w:bCs/>
          <w:color w:val="000000"/>
          <w:sz w:val="28"/>
          <w:szCs w:val="49"/>
        </w:rPr>
        <w:t>NIC 7 Estados de Flujos de Efectivo</w:t>
      </w:r>
    </w:p>
    <w:p w:rsidR="00B623E0" w:rsidRPr="009423C0" w:rsidRDefault="00B623E0" w:rsidP="0069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49"/>
        </w:rPr>
      </w:pPr>
    </w:p>
    <w:p w:rsidR="006904A5" w:rsidRPr="009423C0" w:rsidRDefault="006904A5" w:rsidP="00B62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El objetivo de esta Norma es requerir el suministro de información sobre los ca</w:t>
      </w:r>
      <w:r w:rsidR="00B623E0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mbios históricos en el efectivo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y equivalentes al efectivo de una entidad mediante un </w:t>
      </w:r>
      <w:r w:rsidR="00B623E0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estado de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flujos de efectivo</w:t>
      </w:r>
      <w:r w:rsidR="00B623E0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en el que los flujos de fondos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del período se clasifiquen según que procedan de actividades de operación, de inversión y de financiación.</w:t>
      </w:r>
    </w:p>
    <w:p w:rsidR="00B623E0" w:rsidRPr="009423C0" w:rsidRDefault="00B623E0" w:rsidP="00B62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623E0" w:rsidRPr="009423C0" w:rsidRDefault="00B623E0" w:rsidP="00B62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904A5" w:rsidRPr="009423C0" w:rsidRDefault="006904A5" w:rsidP="0069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  <w:r w:rsidRPr="009423C0">
        <w:rPr>
          <w:rFonts w:ascii="Times New Roman" w:hAnsi="Times New Roman" w:cs="Times New Roman"/>
          <w:b/>
          <w:bCs/>
          <w:color w:val="000000"/>
          <w:sz w:val="28"/>
          <w:szCs w:val="49"/>
        </w:rPr>
        <w:t xml:space="preserve">NIC 10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Hechos Ocurridos después del Periodo</w:t>
      </w:r>
    </w:p>
    <w:p w:rsidR="00B623E0" w:rsidRPr="009423C0" w:rsidRDefault="00B623E0" w:rsidP="0069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</w:p>
    <w:p w:rsidR="006904A5" w:rsidRPr="009423C0" w:rsidRDefault="006904A5" w:rsidP="00B62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El objetivo de esta Norma es prescribir:</w:t>
      </w:r>
    </w:p>
    <w:p w:rsidR="006904A5" w:rsidRPr="009423C0" w:rsidRDefault="006904A5" w:rsidP="00B62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(a) cuándo una entidad debería ajustar sus estados financieros por hechos ocur</w:t>
      </w:r>
      <w:r w:rsidR="00B623E0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ridos después del periodo sobre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el que se informa; y</w:t>
      </w:r>
    </w:p>
    <w:p w:rsidR="006904A5" w:rsidRPr="009423C0" w:rsidRDefault="006904A5" w:rsidP="00B62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(b) la información a revelar que una entidad debería efectuar respecto a la fecha en que los est</w:t>
      </w:r>
      <w:r w:rsidR="00B623E0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ados financieros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fueron autorizados para su publicación,</w:t>
      </w:r>
      <w:r w:rsidR="00B623E0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así como respecto a los hechos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ocur</w:t>
      </w:r>
      <w:r w:rsidR="00B623E0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ridos después del periodo sobre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el que informa.</w:t>
      </w:r>
    </w:p>
    <w:p w:rsidR="00B623E0" w:rsidRPr="009423C0" w:rsidRDefault="00B623E0" w:rsidP="00B62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904A5" w:rsidRPr="009423C0" w:rsidRDefault="006904A5" w:rsidP="0069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  <w:r w:rsidRPr="009423C0">
        <w:rPr>
          <w:rFonts w:ascii="Times New Roman" w:hAnsi="Times New Roman" w:cs="Times New Roman"/>
          <w:b/>
          <w:bCs/>
          <w:color w:val="000000"/>
          <w:sz w:val="28"/>
          <w:szCs w:val="49"/>
        </w:rPr>
        <w:t xml:space="preserve">NIC 11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Contratos de Construcción</w:t>
      </w:r>
    </w:p>
    <w:p w:rsidR="00B623E0" w:rsidRPr="009423C0" w:rsidRDefault="00B623E0" w:rsidP="0069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</w:p>
    <w:p w:rsidR="006904A5" w:rsidRPr="009423C0" w:rsidRDefault="006904A5" w:rsidP="00B62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El objetivo de esta Norma es prescribir el tratamie</w:t>
      </w:r>
      <w:r w:rsidR="00B623E0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nto contable de los ingresos de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actividades ordinarias y los</w:t>
      </w:r>
      <w:r w:rsidR="00B623E0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costos relacionados con los cont</w:t>
      </w:r>
      <w:r w:rsidR="00B623E0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ratos de construcción. Debido a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la naturaleza p</w:t>
      </w:r>
      <w:r w:rsidR="00B623E0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ropia de la actividad llevada a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cabo en los contratos de construcc</w:t>
      </w:r>
      <w:r w:rsidR="00B623E0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ión, la fecha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en que la actividad del contrat</w:t>
      </w:r>
      <w:r w:rsidR="00B73B56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o comienza y la fecha en la que termina el mismo caen,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normalmente, en diferentes periodos contables, Por ta</w:t>
      </w:r>
      <w:r w:rsidR="00B73B56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nto, la cuestión fundamental al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lastRenderedPageBreak/>
        <w:t>contabilizar los contratos de construcción es la distribución de los in</w:t>
      </w:r>
      <w:r w:rsidR="00B73B56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gresos de actividades ordinarias y los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costos que cada uno de ellos genere, entre los periodos contables a lo largo de los cuales se ejecuta.</w:t>
      </w:r>
    </w:p>
    <w:p w:rsidR="00B73B56" w:rsidRPr="009423C0" w:rsidRDefault="00B73B56" w:rsidP="00B62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904A5" w:rsidRPr="009423C0" w:rsidRDefault="006904A5" w:rsidP="00B62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Esta Norma debe ser aplicada para la contabilización de los contratos </w:t>
      </w:r>
      <w:r w:rsidR="00B73B56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de construcción, en los estados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financieros de los contratistas.</w:t>
      </w:r>
    </w:p>
    <w:p w:rsidR="00B8386C" w:rsidRPr="009423C0" w:rsidRDefault="00B8386C" w:rsidP="00B62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904A5" w:rsidRPr="009423C0" w:rsidRDefault="006904A5" w:rsidP="0069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  <w:r w:rsidRPr="009423C0">
        <w:rPr>
          <w:rFonts w:ascii="Times New Roman" w:hAnsi="Times New Roman" w:cs="Times New Roman"/>
          <w:b/>
          <w:bCs/>
          <w:color w:val="000000"/>
          <w:sz w:val="28"/>
          <w:szCs w:val="49"/>
        </w:rPr>
        <w:t xml:space="preserve">NIC 12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Impuesto a las Ganancias</w:t>
      </w:r>
    </w:p>
    <w:p w:rsidR="00B8386C" w:rsidRPr="009423C0" w:rsidRDefault="00B8386C" w:rsidP="0069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</w:p>
    <w:p w:rsidR="006904A5" w:rsidRPr="009423C0" w:rsidRDefault="006904A5" w:rsidP="00AB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El objetivo de esta Norma es prescribir el tratamiento contable del imp</w:t>
      </w:r>
      <w:r w:rsidR="00B8386C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uesto a las ganancias. Para los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propósitos de esta Norma, el término impuesto a las ganancias incluye todos lo</w:t>
      </w:r>
      <w:r w:rsidR="00BB5EFA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s impuestos, ya sean nacionales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o extranjeros, que se relacionan con las ga</w:t>
      </w:r>
      <w:r w:rsidR="00BB5EFA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nancias sujetas a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imposición. El i</w:t>
      </w:r>
      <w:r w:rsidR="00BB5EFA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mpuesto a las ganancias incluye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también</w:t>
      </w:r>
      <w:r w:rsidR="00BB5EFA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otros tributos, tales como las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retenciones sobre dividendos, que se</w:t>
      </w:r>
      <w:r w:rsidR="00BB5EFA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pagan por parte de una entidad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subsidiaria, asociada o negocio conjunto, cuando proceden a distribuir ganancias a la entidad que informa.</w:t>
      </w:r>
    </w:p>
    <w:p w:rsidR="00BB5EFA" w:rsidRPr="009423C0" w:rsidRDefault="00BB5EFA" w:rsidP="0069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904A5" w:rsidRPr="009423C0" w:rsidRDefault="006904A5" w:rsidP="0069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  <w:r w:rsidRPr="009423C0">
        <w:rPr>
          <w:rFonts w:ascii="Times New Roman" w:hAnsi="Times New Roman" w:cs="Times New Roman"/>
          <w:b/>
          <w:bCs/>
          <w:color w:val="000000"/>
          <w:sz w:val="28"/>
          <w:szCs w:val="49"/>
        </w:rPr>
        <w:t xml:space="preserve">NIC 16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Propiedades, Planta y Equipo</w:t>
      </w:r>
    </w:p>
    <w:p w:rsidR="00BB5EFA" w:rsidRPr="009423C0" w:rsidRDefault="00BB5EFA" w:rsidP="0069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</w:p>
    <w:p w:rsidR="006904A5" w:rsidRPr="009423C0" w:rsidRDefault="006904A5" w:rsidP="00BB5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El objetivo de esta Norma es prescribir el tratamiento co</w:t>
      </w:r>
      <w:r w:rsidR="00BB5EFA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ntable de propiedades, planta y equipo, de forma que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los usuarios de los estados financiero</w:t>
      </w:r>
      <w:r w:rsidR="00BB5EFA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s puedan conocer la información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acerca</w:t>
      </w:r>
      <w:r w:rsidR="00BB5EFA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de la inversión que la entidad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tiene en sus propiedades, planta y equipo, así como los cambios que se hayan producido en dicha inversión.</w:t>
      </w:r>
    </w:p>
    <w:p w:rsidR="00BB5EFA" w:rsidRPr="009423C0" w:rsidRDefault="00BB5EFA" w:rsidP="00BB5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904A5" w:rsidRPr="009423C0" w:rsidRDefault="006904A5" w:rsidP="0069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  <w:r w:rsidRPr="009423C0">
        <w:rPr>
          <w:rFonts w:ascii="Times New Roman" w:hAnsi="Times New Roman" w:cs="Times New Roman"/>
          <w:b/>
          <w:bCs/>
          <w:color w:val="000000"/>
          <w:sz w:val="28"/>
          <w:szCs w:val="49"/>
        </w:rPr>
        <w:t xml:space="preserve">NIC 17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Arrendamientos</w:t>
      </w:r>
    </w:p>
    <w:p w:rsidR="006904A5" w:rsidRPr="009423C0" w:rsidRDefault="006904A5" w:rsidP="0069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5F6062"/>
          <w:sz w:val="20"/>
          <w:szCs w:val="20"/>
        </w:rPr>
      </w:pPr>
      <w:r w:rsidRPr="009423C0">
        <w:rPr>
          <w:rFonts w:ascii="Times New Roman" w:hAnsi="Times New Roman" w:cs="Times New Roman"/>
          <w:iCs/>
          <w:color w:val="5F6062"/>
          <w:sz w:val="20"/>
          <w:szCs w:val="20"/>
        </w:rPr>
        <w:t>.</w:t>
      </w:r>
    </w:p>
    <w:p w:rsidR="006904A5" w:rsidRPr="009423C0" w:rsidRDefault="006904A5" w:rsidP="00B2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El objetivo de esta Norma es el de prescribir, para arrendatarios y arrend</w:t>
      </w:r>
      <w:r w:rsidR="00BB5EFA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adores, las políticas contables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adecuadas para contabilizar y revela</w:t>
      </w:r>
      <w:r w:rsidR="00B26BD8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r la información relativa a los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arrendamientos.</w:t>
      </w:r>
    </w:p>
    <w:p w:rsidR="00BB5EFA" w:rsidRPr="009423C0" w:rsidRDefault="00BB5EFA" w:rsidP="00B2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904A5" w:rsidRPr="009423C0" w:rsidRDefault="006904A5" w:rsidP="00B2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La clasificación de los arrendamientos adoptada en esta N</w:t>
      </w:r>
      <w:r w:rsidR="00B26BD8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orma se basa en el grado en que los riesgos y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ventajas, derivados de la propiedad del activo, afectan al arrendador o al arrendatario.</w:t>
      </w:r>
    </w:p>
    <w:p w:rsidR="00B26BD8" w:rsidRPr="009423C0" w:rsidRDefault="00B26BD8" w:rsidP="00B2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904A5" w:rsidRPr="009423C0" w:rsidRDefault="006904A5" w:rsidP="0069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  <w:r w:rsidRPr="009423C0">
        <w:rPr>
          <w:rFonts w:ascii="Times New Roman" w:hAnsi="Times New Roman" w:cs="Times New Roman"/>
          <w:b/>
          <w:bCs/>
          <w:color w:val="000000"/>
          <w:sz w:val="28"/>
          <w:szCs w:val="49"/>
        </w:rPr>
        <w:t xml:space="preserve">NIC 18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Ingresos de Actividades Ordinarias</w:t>
      </w:r>
    </w:p>
    <w:p w:rsidR="00E8632B" w:rsidRPr="009423C0" w:rsidRDefault="00E8632B" w:rsidP="0069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</w:p>
    <w:p w:rsidR="006904A5" w:rsidRPr="009423C0" w:rsidRDefault="006904A5" w:rsidP="003C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Esta</w:t>
      </w:r>
      <w:r w:rsidR="00E8632B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Norma identifica las circunstancias en las cuales se cumplen estos criterios para que los ingresos de actividades</w:t>
      </w:r>
      <w:r w:rsidR="00E8632B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ordinarias sean reconocidos. Tambi</w:t>
      </w:r>
      <w:r w:rsidR="00E8632B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én suministra una guía práctica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sobre la aplicación de tales criterios.</w:t>
      </w:r>
    </w:p>
    <w:p w:rsidR="00E8632B" w:rsidRPr="009423C0" w:rsidRDefault="00E8632B" w:rsidP="003C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904A5" w:rsidRPr="009423C0" w:rsidRDefault="006904A5" w:rsidP="003C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Ingreso de actividades ordinarias es la entrada bruta de beneficios económicos, durante el periodo, surgidos en</w:t>
      </w:r>
      <w:r w:rsidR="00E8632B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el curso de las actividades ordinarias de una entidad, siempre que tal entrada dé lugar a un aumento en el</w:t>
      </w:r>
      <w:r w:rsidR="00E8632B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patrimonio, que no esté relacionado con las aportaciones de los propietarios de ese patrimonio.</w:t>
      </w:r>
    </w:p>
    <w:p w:rsidR="00E8632B" w:rsidRPr="009423C0" w:rsidRDefault="00E8632B" w:rsidP="003C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904A5" w:rsidRPr="009423C0" w:rsidRDefault="006904A5" w:rsidP="003C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Esta Norma debe ser aplicada al contabilizar ingresos de actividades ordinarias procedentes de las siguientes</w:t>
      </w:r>
      <w:r w:rsidR="00E8632B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transacciones y sucesos:</w:t>
      </w:r>
    </w:p>
    <w:p w:rsidR="006904A5" w:rsidRPr="009423C0" w:rsidRDefault="006904A5" w:rsidP="003C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(a) venta de bienes;</w:t>
      </w:r>
    </w:p>
    <w:p w:rsidR="006904A5" w:rsidRPr="009423C0" w:rsidRDefault="006904A5" w:rsidP="003C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(b) la prestación de servicios; y</w:t>
      </w:r>
    </w:p>
    <w:p w:rsidR="006904A5" w:rsidRPr="009423C0" w:rsidRDefault="006904A5" w:rsidP="00E8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(c) el uso, por parte de terceros, de activos de la entidad que produzcan intereses, regalías y dividendos.</w:t>
      </w:r>
    </w:p>
    <w:p w:rsidR="005A5F00" w:rsidRPr="009423C0" w:rsidRDefault="005A5F00" w:rsidP="00E8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A5F00" w:rsidRPr="009423C0" w:rsidRDefault="005A5F00" w:rsidP="00E8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A5F00" w:rsidRPr="009423C0" w:rsidRDefault="005A5F00" w:rsidP="00E8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904A5" w:rsidRPr="009423C0" w:rsidRDefault="006904A5" w:rsidP="003C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904A5" w:rsidRPr="009423C0" w:rsidRDefault="006904A5" w:rsidP="0069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  <w:r w:rsidRPr="009423C0">
        <w:rPr>
          <w:rFonts w:ascii="Times New Roman" w:hAnsi="Times New Roman" w:cs="Times New Roman"/>
          <w:b/>
          <w:bCs/>
          <w:color w:val="000000"/>
          <w:sz w:val="28"/>
          <w:szCs w:val="49"/>
        </w:rPr>
        <w:t xml:space="preserve">NIC 19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Beneficios a los Empleados</w:t>
      </w:r>
    </w:p>
    <w:p w:rsidR="006904A5" w:rsidRPr="009423C0" w:rsidRDefault="006904A5" w:rsidP="0069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5F6062"/>
          <w:sz w:val="20"/>
          <w:szCs w:val="20"/>
        </w:rPr>
      </w:pPr>
    </w:p>
    <w:p w:rsidR="006904A5" w:rsidRPr="009423C0" w:rsidRDefault="006904A5" w:rsidP="005A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El objetivo de esta Norma es prescribir el tratamiento contable y la información a</w:t>
      </w:r>
      <w:r w:rsidR="005A5F00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revelar sobre los beneficios a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los empleados. La Norma requiere que una entidad reconozca:</w:t>
      </w:r>
    </w:p>
    <w:p w:rsidR="006904A5" w:rsidRPr="009423C0" w:rsidRDefault="006904A5" w:rsidP="005A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(a) un pasivo cuando el empleado ha prestado servicios a cambio de beneficio</w:t>
      </w:r>
      <w:r w:rsidR="005A5F00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s a los empleados a pagar en el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futuro; y</w:t>
      </w:r>
    </w:p>
    <w:p w:rsidR="006904A5" w:rsidRPr="009423C0" w:rsidRDefault="006904A5" w:rsidP="005A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(b) un gasto cuando la entidad consume el beneficio económico proceden</w:t>
      </w:r>
      <w:r w:rsidR="005A5F00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te del servicio prestado por el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empleado a cambio de los beneficios a los empleados.</w:t>
      </w:r>
    </w:p>
    <w:p w:rsidR="006904A5" w:rsidRPr="009423C0" w:rsidRDefault="006904A5" w:rsidP="005A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904A5" w:rsidRPr="009423C0" w:rsidRDefault="006904A5" w:rsidP="007C6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  <w:r w:rsidRPr="009423C0">
        <w:rPr>
          <w:rFonts w:ascii="Times New Roman" w:hAnsi="Times New Roman" w:cs="Times New Roman"/>
          <w:b/>
          <w:bCs/>
          <w:color w:val="000000"/>
          <w:sz w:val="28"/>
          <w:szCs w:val="49"/>
        </w:rPr>
        <w:t xml:space="preserve">NIC 20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Contabilización de las Subvenciones del</w:t>
      </w:r>
      <w:r w:rsidR="007C630A"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 xml:space="preserve"> Gobierno e Información a Revelar sobre Ayudas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Gubernamentales</w:t>
      </w:r>
    </w:p>
    <w:p w:rsidR="007C630A" w:rsidRPr="009423C0" w:rsidRDefault="007C630A" w:rsidP="007C6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904A5" w:rsidRPr="009423C0" w:rsidRDefault="006904A5" w:rsidP="007C6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Esta Norma trata sobre la contabilización e información a revelar acerca de las</w:t>
      </w:r>
      <w:r w:rsidR="007C630A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subvenciones del gobierno, así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como de la información a revelar sobre otras formas de ayudas gubernamentales.</w:t>
      </w:r>
    </w:p>
    <w:p w:rsidR="006904A5" w:rsidRPr="009423C0" w:rsidRDefault="006904A5" w:rsidP="007C6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Las subvenciones del gobierno son ayuda gubernamenta</w:t>
      </w:r>
      <w:r w:rsidR="007C630A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l en forma de transferencias de recursos a una entidad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a cambio del cumplimiento pasado </w:t>
      </w:r>
      <w:r w:rsidR="007C630A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o futuro de ciertas condiciones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rela</w:t>
      </w:r>
      <w:r w:rsidR="007C630A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cionadas con las actividades de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operación de la entidad. Se excluyen aquellas formas de ayuda </w:t>
      </w:r>
      <w:r w:rsidR="007C630A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gubernamental a las que no cabe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razonablemente</w:t>
      </w:r>
      <w:r w:rsidR="007C630A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asignar un valor, así como las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transacciones con el gobierno qu</w:t>
      </w:r>
      <w:r w:rsidR="007C630A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e no pueden distinguirse de las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demás operaciones normales de la entidad.</w:t>
      </w:r>
    </w:p>
    <w:p w:rsidR="007C630A" w:rsidRPr="009423C0" w:rsidRDefault="007C630A" w:rsidP="007C6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904A5" w:rsidRPr="009423C0" w:rsidRDefault="006904A5" w:rsidP="005B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  <w:r w:rsidRPr="009423C0">
        <w:rPr>
          <w:rFonts w:ascii="Times New Roman" w:hAnsi="Times New Roman" w:cs="Times New Roman"/>
          <w:b/>
          <w:bCs/>
          <w:color w:val="000000"/>
          <w:sz w:val="28"/>
          <w:szCs w:val="49"/>
        </w:rPr>
        <w:t xml:space="preserve">NIC 21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 xml:space="preserve">Efectos de </w:t>
      </w:r>
      <w:r w:rsidR="00E334CB"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 xml:space="preserve">las Variaciones en las Tasas de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Cambio de la Moneda Extranjera</w:t>
      </w:r>
    </w:p>
    <w:p w:rsidR="00E334CB" w:rsidRPr="009423C0" w:rsidRDefault="00E334CB" w:rsidP="005B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49"/>
          <w:szCs w:val="49"/>
        </w:rPr>
      </w:pPr>
    </w:p>
    <w:p w:rsidR="006904A5" w:rsidRPr="009423C0" w:rsidRDefault="006904A5" w:rsidP="007C6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El objetivo de esta Norma es prescribir</w:t>
      </w:r>
      <w:r w:rsidR="007C630A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cómo se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incorporan, en los estados financieros de una entidad, las transacciones en moneda extranjera y los negocios en</w:t>
      </w:r>
      <w:r w:rsidR="00E334CB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el extranjero, y cómo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convertir los estados financieros a la moneda de presen</w:t>
      </w:r>
      <w:r w:rsidR="00E334CB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tación elegida. Los principales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problemas que se presentan son la tasa o tasas de cambio a </w:t>
      </w:r>
      <w:r w:rsidR="00E334CB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utilizar, así como la manera de informar sobre los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efectos de las variaciones en las tasas de cambio dentro de los estados financieros.</w:t>
      </w:r>
    </w:p>
    <w:p w:rsidR="00E334CB" w:rsidRPr="009423C0" w:rsidRDefault="00E334CB" w:rsidP="007C6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904A5" w:rsidRPr="009423C0" w:rsidRDefault="006904A5" w:rsidP="0069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  <w:r w:rsidRPr="009423C0">
        <w:rPr>
          <w:rFonts w:ascii="Times New Roman" w:hAnsi="Times New Roman" w:cs="Times New Roman"/>
          <w:b/>
          <w:bCs/>
          <w:color w:val="000000"/>
          <w:sz w:val="28"/>
          <w:szCs w:val="49"/>
        </w:rPr>
        <w:t xml:space="preserve">NIC 23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Costos por Préstamos</w:t>
      </w:r>
    </w:p>
    <w:p w:rsidR="00E334CB" w:rsidRPr="009423C0" w:rsidRDefault="00E334CB" w:rsidP="0069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904A5" w:rsidRPr="009423C0" w:rsidRDefault="00E334CB" w:rsidP="0069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Esta norma busca reconocer los</w:t>
      </w:r>
      <w:r w:rsidR="001E7081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costos por préstamos </w:t>
      </w:r>
      <w:proofErr w:type="spellStart"/>
      <w:r w:rsidR="001E7081" w:rsidRPr="009423C0">
        <w:rPr>
          <w:rFonts w:ascii="Times New Roman" w:hAnsi="Times New Roman" w:cs="Times New Roman"/>
          <w:color w:val="000000"/>
          <w:sz w:val="23"/>
          <w:szCs w:val="23"/>
        </w:rPr>
        <w:t>que</w:t>
      </w:r>
      <w:r w:rsidR="006904A5" w:rsidRPr="009423C0">
        <w:rPr>
          <w:rFonts w:ascii="Times New Roman" w:hAnsi="Times New Roman" w:cs="Times New Roman"/>
          <w:color w:val="000000"/>
          <w:sz w:val="23"/>
          <w:szCs w:val="23"/>
        </w:rPr>
        <w:t>adquisición</w:t>
      </w:r>
      <w:proofErr w:type="spellEnd"/>
      <w:r w:rsidR="006904A5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construcción o producción de un </w:t>
      </w:r>
      <w:r w:rsidR="006904A5" w:rsidRPr="009423C0">
        <w:rPr>
          <w:rFonts w:ascii="Times New Roman" w:hAnsi="Times New Roman" w:cs="Times New Roman"/>
          <w:color w:val="000000"/>
          <w:sz w:val="23"/>
          <w:szCs w:val="23"/>
        </w:rPr>
        <w:t>activo apto forman parte del costo de d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ichos activos. Los demás costos por préstamos se reconocen como </w:t>
      </w:r>
      <w:r w:rsidR="006904A5" w:rsidRPr="009423C0">
        <w:rPr>
          <w:rFonts w:ascii="Times New Roman" w:hAnsi="Times New Roman" w:cs="Times New Roman"/>
          <w:color w:val="000000"/>
          <w:sz w:val="23"/>
          <w:szCs w:val="23"/>
        </w:rPr>
        <w:t>gastos.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904A5" w:rsidRPr="009423C0">
        <w:rPr>
          <w:rFonts w:ascii="Times New Roman" w:hAnsi="Times New Roman" w:cs="Times New Roman"/>
          <w:color w:val="000000"/>
          <w:sz w:val="23"/>
          <w:szCs w:val="23"/>
        </w:rPr>
        <w:t>Son costos por préstamos los intereses y otros costos en los que la entidad incu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rre, que están relacionados con </w:t>
      </w:r>
      <w:r w:rsidR="006904A5" w:rsidRPr="009423C0">
        <w:rPr>
          <w:rFonts w:ascii="Times New Roman" w:hAnsi="Times New Roman" w:cs="Times New Roman"/>
          <w:color w:val="000000"/>
          <w:sz w:val="23"/>
          <w:szCs w:val="23"/>
        </w:rPr>
        <w:t>los fondos que ha tomado prestados.</w:t>
      </w:r>
    </w:p>
    <w:p w:rsidR="00E334CB" w:rsidRPr="009423C0" w:rsidRDefault="00E334CB" w:rsidP="0069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904A5" w:rsidRPr="009423C0" w:rsidRDefault="006904A5" w:rsidP="0069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  <w:r w:rsidRPr="009423C0">
        <w:rPr>
          <w:rFonts w:ascii="Times New Roman" w:hAnsi="Times New Roman" w:cs="Times New Roman"/>
          <w:b/>
          <w:bCs/>
          <w:color w:val="000000"/>
          <w:sz w:val="28"/>
          <w:szCs w:val="49"/>
        </w:rPr>
        <w:t xml:space="preserve">NIC 24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Inf</w:t>
      </w:r>
      <w:r w:rsidR="00E334CB"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 xml:space="preserve">ormación a Revelar sobre Partes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Relacionadas</w:t>
      </w:r>
    </w:p>
    <w:p w:rsidR="006904A5" w:rsidRPr="009423C0" w:rsidRDefault="006904A5" w:rsidP="0069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5F6062"/>
          <w:sz w:val="20"/>
          <w:szCs w:val="20"/>
          <w:u w:val="single"/>
        </w:rPr>
      </w:pPr>
    </w:p>
    <w:p w:rsidR="006904A5" w:rsidRPr="009423C0" w:rsidRDefault="006904A5" w:rsidP="00C5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El objetivo de esta Norma es asegurar que los estados financieros de una e</w:t>
      </w:r>
      <w:r w:rsidR="00E334CB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ntidad contengan la información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necesaria para poner de manifiesto la posibilidad de que tanto la posición financiera como el resultado del</w:t>
      </w:r>
      <w:r w:rsidR="007E2817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periodo puedan haberse visto afectados por la existencia de partes relaciona</w:t>
      </w:r>
      <w:r w:rsidR="007E2817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das, así como por transacciones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realizadas y saldos pendientes con ellas.</w:t>
      </w:r>
    </w:p>
    <w:p w:rsidR="007E2817" w:rsidRPr="009423C0" w:rsidRDefault="007E2817" w:rsidP="00C5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49"/>
        </w:rPr>
      </w:pPr>
    </w:p>
    <w:p w:rsidR="00EE68A7" w:rsidRPr="009423C0" w:rsidRDefault="00EE68A7" w:rsidP="00C5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49"/>
        </w:rPr>
      </w:pPr>
    </w:p>
    <w:p w:rsidR="006904A5" w:rsidRPr="009423C0" w:rsidRDefault="006904A5" w:rsidP="0069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  <w:r w:rsidRPr="009423C0">
        <w:rPr>
          <w:rFonts w:ascii="Times New Roman" w:hAnsi="Times New Roman" w:cs="Times New Roman"/>
          <w:b/>
          <w:bCs/>
          <w:color w:val="000000"/>
          <w:sz w:val="28"/>
          <w:szCs w:val="49"/>
        </w:rPr>
        <w:t xml:space="preserve">NIC 26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Contabili</w:t>
      </w:r>
      <w:r w:rsidR="007E2817"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 xml:space="preserve">zación e Información Financiera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sobre Planes de Beneficio por Retiro</w:t>
      </w:r>
    </w:p>
    <w:p w:rsidR="007E2817" w:rsidRPr="009423C0" w:rsidRDefault="007E2817" w:rsidP="0069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</w:p>
    <w:p w:rsidR="006904A5" w:rsidRPr="009423C0" w:rsidRDefault="006904A5" w:rsidP="000F1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Esta Norma se aplica a los estados financieros de planes de beneficio por retiro, cuando éstos se preparan.</w:t>
      </w:r>
    </w:p>
    <w:p w:rsidR="006904A5" w:rsidRPr="009423C0" w:rsidRDefault="006904A5" w:rsidP="000F1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Planes de beneficio por retiro son acuerdos en los que una entidad se compro</w:t>
      </w:r>
      <w:r w:rsidR="000F14CC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mete a suministrar beneficios a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sus empleados, en el momento de terminar sus servicios o después (ya sea en </w:t>
      </w:r>
      <w:r w:rsidR="000F14CC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forma de renta periódica o como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pago único), siempre que tales beneficios, o las aportaciones a los mis</w:t>
      </w:r>
      <w:r w:rsidR="000F14CC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mos que dependan del empleador,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puedan </w:t>
      </w:r>
      <w:r w:rsidR="000F14CC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ser determinados o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estimados con anterioridad al momento del retiro, y</w:t>
      </w:r>
      <w:r w:rsidR="000F14CC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a sea a partir de las cláusulas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establecidas en un documento o de las prác</w:t>
      </w:r>
      <w:r w:rsidR="000F14CC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ticas habituales de la entidad.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Algunos planes de beneficio por retiro son financiados por personas distintas de</w:t>
      </w:r>
      <w:r w:rsidR="00D20718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los empleadores; esta Norma también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es de aplicación a la información financiera sobre tales planes.</w:t>
      </w:r>
    </w:p>
    <w:p w:rsidR="00706066" w:rsidRPr="009423C0" w:rsidRDefault="00706066" w:rsidP="0070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9"/>
          <w:szCs w:val="29"/>
        </w:rPr>
      </w:pPr>
      <w:r w:rsidRPr="009423C0">
        <w:rPr>
          <w:rFonts w:ascii="Times New Roman" w:hAnsi="Times New Roman" w:cs="Times New Roman"/>
          <w:b/>
          <w:bCs/>
          <w:color w:val="FFFFFF"/>
          <w:sz w:val="29"/>
          <w:szCs w:val="29"/>
        </w:rPr>
        <w:t>Resumen técnico</w:t>
      </w:r>
    </w:p>
    <w:p w:rsidR="00706066" w:rsidRPr="009423C0" w:rsidRDefault="00706066" w:rsidP="0070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  <w:r w:rsidRPr="009423C0">
        <w:rPr>
          <w:rFonts w:ascii="Times New Roman" w:hAnsi="Times New Roman" w:cs="Times New Roman"/>
          <w:b/>
          <w:bCs/>
          <w:color w:val="000000"/>
          <w:sz w:val="28"/>
          <w:szCs w:val="49"/>
        </w:rPr>
        <w:t xml:space="preserve">NIC 27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Estados Financieros Separados</w:t>
      </w:r>
    </w:p>
    <w:p w:rsidR="00D20718" w:rsidRPr="009423C0" w:rsidRDefault="00D20718" w:rsidP="0070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</w:p>
    <w:p w:rsidR="00706066" w:rsidRPr="009423C0" w:rsidRDefault="00706066" w:rsidP="00D2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El objetivo de esta Norma es prescribir los requerimientos de contabilización e información a rev</w:t>
      </w:r>
      <w:r w:rsidR="00D20718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elar para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inversiones en subsidiarias, negocios conjuntos y asociadas cuando una enti</w:t>
      </w:r>
      <w:r w:rsidR="00D20718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dad prepara estados financieros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separados. E</w:t>
      </w:r>
      <w:r w:rsidR="00D20718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sta Norma deberá aplicarse a la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contabilidad de las inversiones en subsidiarias, negocios</w:t>
      </w:r>
      <w:r w:rsidR="00D20718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conjuntos y asociadas en el caso de que una entidad opte por presentar estado</w:t>
      </w:r>
      <w:r w:rsidR="00D20718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s financieros separados, o esté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obligada a ello por las regulaciones locales.</w:t>
      </w:r>
    </w:p>
    <w:p w:rsidR="00706066" w:rsidRPr="009423C0" w:rsidRDefault="00706066" w:rsidP="00D2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Estados financieros separados son los presentados por una controladora (es decir</w:t>
      </w:r>
      <w:r w:rsidR="00D20718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, un inversor con el control de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una subsidiaria) o un inver</w:t>
      </w:r>
      <w:r w:rsidR="00D20718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sor con control conjunto en una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participada o influenc</w:t>
      </w:r>
      <w:r w:rsidR="00D20718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ia significativa sobre ésta, en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la que las inversiones se contabilizan al costo o de acuerdo con la NIIF 9 </w:t>
      </w:r>
      <w:r w:rsidRPr="009423C0">
        <w:rPr>
          <w:rFonts w:ascii="Times New Roman" w:hAnsi="Times New Roman" w:cs="Times New Roman"/>
          <w:iCs/>
          <w:color w:val="000000"/>
          <w:sz w:val="23"/>
          <w:szCs w:val="23"/>
        </w:rPr>
        <w:t>Instrumentos Financieros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06066" w:rsidRPr="009423C0" w:rsidRDefault="00706066" w:rsidP="0070606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706066" w:rsidRPr="009423C0" w:rsidRDefault="00706066" w:rsidP="0070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  <w:r w:rsidRPr="009423C0">
        <w:rPr>
          <w:rFonts w:ascii="Times New Roman" w:hAnsi="Times New Roman" w:cs="Times New Roman"/>
          <w:b/>
          <w:bCs/>
          <w:color w:val="000000"/>
          <w:sz w:val="28"/>
          <w:szCs w:val="49"/>
        </w:rPr>
        <w:t xml:space="preserve">NIC 28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Inve</w:t>
      </w:r>
      <w:r w:rsidR="00EE68A7"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 xml:space="preserve">rsiones en Asociadas y Negocios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Conjuntos</w:t>
      </w:r>
    </w:p>
    <w:p w:rsidR="00EE68A7" w:rsidRPr="009423C0" w:rsidRDefault="00EE68A7" w:rsidP="0070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</w:p>
    <w:p w:rsidR="00706066" w:rsidRPr="009423C0" w:rsidRDefault="00706066" w:rsidP="00E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El objetivo de esta Norma es prescribir la contabilidad de las inversione</w:t>
      </w:r>
      <w:r w:rsidR="00EE68A7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s en asociadas y establecer los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requerimientos para la aplicación de</w:t>
      </w:r>
      <w:r w:rsidR="00EE68A7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l método de la participación al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contabilizar</w:t>
      </w:r>
      <w:r w:rsidR="00EE68A7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las inversiones en asociadas y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negocios conjuntos.</w:t>
      </w:r>
    </w:p>
    <w:p w:rsidR="00706066" w:rsidRPr="009423C0" w:rsidRDefault="00706066" w:rsidP="00E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Esta Norma se aplicará a todas las entidades que sean inversore</w:t>
      </w:r>
      <w:r w:rsidR="00EE68A7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s con control conjunto de una participada o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tengan influencia significativa sobre ésta.</w:t>
      </w:r>
    </w:p>
    <w:p w:rsidR="00706066" w:rsidRPr="009423C0" w:rsidRDefault="00706066" w:rsidP="0070606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706066" w:rsidRPr="009423C0" w:rsidRDefault="00706066" w:rsidP="0070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  <w:r w:rsidRPr="009423C0">
        <w:rPr>
          <w:rFonts w:ascii="Times New Roman" w:hAnsi="Times New Roman" w:cs="Times New Roman"/>
          <w:b/>
          <w:bCs/>
          <w:color w:val="000000"/>
          <w:sz w:val="28"/>
          <w:szCs w:val="49"/>
        </w:rPr>
        <w:t xml:space="preserve">NIC 29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Información Financiera en Economías</w:t>
      </w:r>
      <w:r w:rsidR="008A79F0"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 xml:space="preserve">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Hiperinflacionarias</w:t>
      </w:r>
    </w:p>
    <w:p w:rsidR="00706066" w:rsidRPr="009423C0" w:rsidRDefault="00706066" w:rsidP="0070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5F6062"/>
          <w:sz w:val="20"/>
          <w:szCs w:val="20"/>
        </w:rPr>
      </w:pPr>
      <w:r w:rsidRPr="009423C0">
        <w:rPr>
          <w:rFonts w:ascii="Times New Roman" w:hAnsi="Times New Roman" w:cs="Times New Roman"/>
          <w:iCs/>
          <w:color w:val="5F6062"/>
          <w:sz w:val="20"/>
          <w:szCs w:val="20"/>
        </w:rPr>
        <w:t>.</w:t>
      </w:r>
    </w:p>
    <w:p w:rsidR="00706066" w:rsidRPr="009423C0" w:rsidRDefault="00706066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La presente Norma será de aplicación a los estados financieros incluyendo a los estados financieros</w:t>
      </w:r>
      <w:r w:rsidR="008A79F0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consolidados, de una entidad cuy</w:t>
      </w:r>
      <w:r w:rsidR="008A79F0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a moneda funcional es la moneda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correspondiente a una economía</w:t>
      </w:r>
      <w:r w:rsidR="008A79F0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hiperinflacionaria.</w:t>
      </w:r>
    </w:p>
    <w:p w:rsidR="008A79F0" w:rsidRPr="009423C0" w:rsidRDefault="008A79F0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A79F0" w:rsidRPr="009423C0" w:rsidRDefault="00706066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Esta Norma no establece una tasa absoluta para considerar que, al sobrepasarla, surge el estado de</w:t>
      </w:r>
      <w:r w:rsidR="008A79F0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hiperinflación. Es, por el contrario, un problema de</w:t>
      </w:r>
      <w:r w:rsidR="008A79F0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criterio juzgar cuándo se hace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necesario </w:t>
      </w:r>
      <w:proofErr w:type="spellStart"/>
      <w:r w:rsidRPr="009423C0">
        <w:rPr>
          <w:rFonts w:ascii="Times New Roman" w:hAnsi="Times New Roman" w:cs="Times New Roman"/>
          <w:color w:val="000000"/>
          <w:sz w:val="23"/>
          <w:szCs w:val="23"/>
        </w:rPr>
        <w:t>reexpresar</w:t>
      </w:r>
      <w:proofErr w:type="spellEnd"/>
      <w:r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los</w:t>
      </w:r>
      <w:r w:rsidR="008A79F0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estados financieros de acuerdo con la presente Norma.</w:t>
      </w:r>
      <w:r w:rsidR="008A79F0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El estado de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hiperinflación viene indicado por las</w:t>
      </w:r>
      <w:r w:rsidR="008A79F0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características del en</w:t>
      </w:r>
      <w:r w:rsidR="008A79F0" w:rsidRPr="009423C0">
        <w:rPr>
          <w:rFonts w:ascii="Times New Roman" w:hAnsi="Times New Roman" w:cs="Times New Roman"/>
          <w:color w:val="000000"/>
          <w:sz w:val="23"/>
          <w:szCs w:val="23"/>
        </w:rPr>
        <w:t>torno económico del país</w:t>
      </w:r>
      <w:r w:rsidR="004532CA" w:rsidRPr="009423C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532CA" w:rsidRPr="009423C0" w:rsidRDefault="004532CA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532CA" w:rsidRPr="009423C0" w:rsidRDefault="004532CA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532CA" w:rsidRPr="009423C0" w:rsidRDefault="004532CA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532CA" w:rsidRPr="009423C0" w:rsidRDefault="004532CA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06066" w:rsidRPr="009423C0" w:rsidRDefault="00706066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  <w:r w:rsidRPr="009423C0">
        <w:rPr>
          <w:rFonts w:ascii="Times New Roman" w:hAnsi="Times New Roman" w:cs="Times New Roman"/>
          <w:b/>
          <w:bCs/>
          <w:color w:val="000000"/>
          <w:sz w:val="28"/>
          <w:szCs w:val="49"/>
        </w:rPr>
        <w:t>NIC 32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Instrumentos Financieros: Presentación</w:t>
      </w:r>
    </w:p>
    <w:p w:rsidR="004532CA" w:rsidRPr="009423C0" w:rsidRDefault="004532CA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</w:p>
    <w:p w:rsidR="00706066" w:rsidRPr="009423C0" w:rsidRDefault="00706066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El objetivo de esta Norma es establecer principios para presentar los instrumentos financi</w:t>
      </w:r>
      <w:r w:rsidR="004532CA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eros como pasivos o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patrimonio y</w:t>
      </w:r>
      <w:r w:rsidR="004532CA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para compensar activos y pasivos financieros. Ella aplica a la cl</w:t>
      </w:r>
      <w:r w:rsidR="004532CA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asificación de los instrumentos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financieros, desde la perspectiva del emisor, en activos financieros, pasivo</w:t>
      </w:r>
      <w:r w:rsidR="004532CA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s financieros e instrumentos de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patrimonio; en la clasificación de los intereses, dividendos y pérdidas y gananci</w:t>
      </w:r>
      <w:r w:rsidR="004532CA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as relacionadas con ellos, y en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las circunstancias que obligan a la compensación de activos financieros y pasivos financieros.</w:t>
      </w:r>
    </w:p>
    <w:p w:rsidR="004532CA" w:rsidRPr="009423C0" w:rsidRDefault="004532CA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06066" w:rsidRPr="009423C0" w:rsidRDefault="00706066" w:rsidP="008A79F0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06066" w:rsidRPr="009423C0" w:rsidRDefault="00706066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  <w:r w:rsidRPr="009423C0">
        <w:rPr>
          <w:rFonts w:ascii="Times New Roman" w:hAnsi="Times New Roman" w:cs="Times New Roman"/>
          <w:b/>
          <w:bCs/>
          <w:color w:val="000000"/>
          <w:sz w:val="28"/>
          <w:szCs w:val="49"/>
        </w:rPr>
        <w:t xml:space="preserve">NIC 33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Ganancias por acción</w:t>
      </w:r>
    </w:p>
    <w:p w:rsidR="00706066" w:rsidRPr="009423C0" w:rsidRDefault="00706066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5F6062"/>
          <w:sz w:val="20"/>
          <w:szCs w:val="20"/>
        </w:rPr>
      </w:pPr>
    </w:p>
    <w:p w:rsidR="00706066" w:rsidRPr="009423C0" w:rsidRDefault="00706066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El objetivo de esta Norma es establecer los principios para la determinació</w:t>
      </w:r>
      <w:r w:rsidR="00A83F34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n y presentación de la cifra de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ganancias por acción de las entidades, cuyo efecto será el de mejorar la compar</w:t>
      </w:r>
      <w:r w:rsidR="00A83F34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ación de los rendimientos entre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diferentes entidades en el mismo periodo, así como entre diferentes periodos para la misma entidad</w:t>
      </w:r>
      <w:r w:rsidR="00A83F34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. El punto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central de esta Norma es el establecimiento del denominador en el cálculo de las ganancias por acción.</w:t>
      </w:r>
    </w:p>
    <w:p w:rsidR="00A83F34" w:rsidRPr="009423C0" w:rsidRDefault="00A83F34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06066" w:rsidRPr="009423C0" w:rsidRDefault="00706066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  <w:r w:rsidRPr="009423C0">
        <w:rPr>
          <w:rFonts w:ascii="Times New Roman" w:hAnsi="Times New Roman" w:cs="Times New Roman"/>
          <w:b/>
          <w:bCs/>
          <w:color w:val="000000"/>
          <w:sz w:val="28"/>
          <w:szCs w:val="49"/>
        </w:rPr>
        <w:t xml:space="preserve">NIC 34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Información Financiera Intermedia</w:t>
      </w:r>
    </w:p>
    <w:p w:rsidR="00706066" w:rsidRPr="009423C0" w:rsidRDefault="00706066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5F6062"/>
          <w:sz w:val="20"/>
          <w:szCs w:val="20"/>
        </w:rPr>
      </w:pPr>
      <w:r w:rsidRPr="009423C0">
        <w:rPr>
          <w:rFonts w:ascii="Times New Roman" w:hAnsi="Times New Roman" w:cs="Times New Roman"/>
          <w:iCs/>
          <w:color w:val="5F6062"/>
          <w:sz w:val="20"/>
          <w:szCs w:val="20"/>
        </w:rPr>
        <w:t>.</w:t>
      </w:r>
    </w:p>
    <w:p w:rsidR="00706066" w:rsidRPr="009423C0" w:rsidRDefault="00706066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El objetivo de esta Norma es establecer el contenido mínimo de la información financiera intermedia, as</w:t>
      </w:r>
      <w:r w:rsidR="00A83F34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í como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prescribir los criterios para el reconoc</w:t>
      </w:r>
      <w:r w:rsidR="00A83F34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imiento y la medición que deben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ser segu</w:t>
      </w:r>
      <w:r w:rsidR="00A83F34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idos en los estados financieros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intermedios, ya s</w:t>
      </w:r>
      <w:r w:rsidR="00396384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e presenten de forma completa o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condensada. La informaci</w:t>
      </w:r>
      <w:r w:rsidR="00396384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ón financiera intermedia, si se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presenta en el momento oportuno y contiene datos fiables, mejora la ca</w:t>
      </w:r>
      <w:r w:rsidR="00396384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pacidad que los inversionistas,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prestamistas y otros usuarios tienen para entender la capacidad de la entidad para</w:t>
      </w:r>
      <w:r w:rsidR="00396384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generar beneficios y flujos de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efectivo, así como su fortaleza financiera y liquidez.</w:t>
      </w:r>
    </w:p>
    <w:p w:rsidR="00396384" w:rsidRPr="009423C0" w:rsidRDefault="00396384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06066" w:rsidRPr="009423C0" w:rsidRDefault="00706066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  <w:r w:rsidRPr="009423C0">
        <w:rPr>
          <w:rFonts w:ascii="Times New Roman" w:hAnsi="Times New Roman" w:cs="Times New Roman"/>
          <w:b/>
          <w:bCs/>
          <w:color w:val="000000"/>
          <w:sz w:val="28"/>
          <w:szCs w:val="49"/>
        </w:rPr>
        <w:t xml:space="preserve">NIC 36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Deterioro del Valor de los Activos</w:t>
      </w:r>
    </w:p>
    <w:p w:rsidR="00706066" w:rsidRPr="009423C0" w:rsidRDefault="00706066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5F6062"/>
          <w:sz w:val="20"/>
          <w:szCs w:val="20"/>
        </w:rPr>
      </w:pPr>
      <w:r w:rsidRPr="009423C0">
        <w:rPr>
          <w:rFonts w:ascii="Times New Roman" w:hAnsi="Times New Roman" w:cs="Times New Roman"/>
          <w:iCs/>
          <w:color w:val="5F6062"/>
          <w:sz w:val="20"/>
          <w:szCs w:val="20"/>
        </w:rPr>
        <w:t>.</w:t>
      </w:r>
    </w:p>
    <w:p w:rsidR="00706066" w:rsidRPr="009423C0" w:rsidRDefault="00706066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El objetivo de esta Norma consiste en establecer los procedimientos que una e</w:t>
      </w:r>
      <w:r w:rsidR="00396384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ntidad aplicará para asegurarse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de que sus activos están contabilizados por un importe que no sea superior a su</w:t>
      </w:r>
      <w:r w:rsidR="00396384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importe recuperable. Un activo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estará contabilizado por encima de su importe recuperable cuando su importe e</w:t>
      </w:r>
      <w:r w:rsidR="00396384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n libros exceda del importe que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se pueda recuperar del mismo a través de su utilización o de su venta. Si este fuera e</w:t>
      </w:r>
      <w:r w:rsidR="00396384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l caso, el activo se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presentaría como deteriorado, y la Norma exige que la entidad reconozc</w:t>
      </w:r>
      <w:r w:rsidR="00396384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a una pérdida por deterioro del valor de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ese activo. En la Norma también se especifica cuándo la entidad revertirá la pérdi</w:t>
      </w:r>
      <w:r w:rsidR="00396384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da por deterioro del valor, así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como la información a revelar.</w:t>
      </w:r>
    </w:p>
    <w:p w:rsidR="00396384" w:rsidRPr="009423C0" w:rsidRDefault="00396384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06066" w:rsidRPr="009423C0" w:rsidRDefault="00706066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  <w:r w:rsidRPr="009423C0">
        <w:rPr>
          <w:rFonts w:ascii="Times New Roman" w:hAnsi="Times New Roman" w:cs="Times New Roman"/>
          <w:b/>
          <w:bCs/>
          <w:color w:val="000000"/>
          <w:sz w:val="28"/>
          <w:szCs w:val="49"/>
        </w:rPr>
        <w:t xml:space="preserve">NIC 37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Provisiones,</w:t>
      </w:r>
      <w:r w:rsidR="00396384"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 xml:space="preserve"> Pasivos Contingentes y Activos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Contingentes</w:t>
      </w:r>
    </w:p>
    <w:p w:rsidR="00396384" w:rsidRPr="009423C0" w:rsidRDefault="00396384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</w:p>
    <w:p w:rsidR="00706066" w:rsidRPr="009423C0" w:rsidRDefault="00706066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El objetivo de esta Norma es asegurar que se utilic</w:t>
      </w:r>
      <w:r w:rsidR="00396384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en las bases apropiadas para el reconocimiento y la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medición de las provisiones, pasivos contingentes y activos contingentes, así como que s</w:t>
      </w:r>
      <w:r w:rsidR="00396384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e revele la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información complementaria suficiente, por medio de las notas, como para per</w:t>
      </w:r>
      <w:r w:rsidR="00396384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mitir a los usuarios comprender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la naturaleza, calendario de vencimiento e importes, de las anteriores partidas.</w:t>
      </w:r>
    </w:p>
    <w:p w:rsidR="00396384" w:rsidRPr="009423C0" w:rsidRDefault="00396384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9"/>
          <w:szCs w:val="29"/>
        </w:rPr>
      </w:pPr>
    </w:p>
    <w:p w:rsidR="00396384" w:rsidRPr="009423C0" w:rsidRDefault="00396384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9"/>
          <w:szCs w:val="29"/>
        </w:rPr>
      </w:pPr>
    </w:p>
    <w:p w:rsidR="00205776" w:rsidRPr="009423C0" w:rsidRDefault="00205776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9"/>
          <w:szCs w:val="29"/>
        </w:rPr>
      </w:pPr>
      <w:r w:rsidRPr="009423C0">
        <w:rPr>
          <w:rFonts w:ascii="Times New Roman" w:hAnsi="Times New Roman" w:cs="Times New Roman"/>
          <w:b/>
          <w:bCs/>
          <w:color w:val="FFFFFF"/>
          <w:sz w:val="29"/>
          <w:szCs w:val="29"/>
        </w:rPr>
        <w:lastRenderedPageBreak/>
        <w:t>Resumen técnico</w:t>
      </w:r>
    </w:p>
    <w:p w:rsidR="00205776" w:rsidRPr="009423C0" w:rsidRDefault="00205776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  <w:r w:rsidRPr="009423C0">
        <w:rPr>
          <w:rFonts w:ascii="Times New Roman" w:hAnsi="Times New Roman" w:cs="Times New Roman"/>
          <w:b/>
          <w:bCs/>
          <w:color w:val="000000"/>
          <w:sz w:val="28"/>
          <w:szCs w:val="49"/>
        </w:rPr>
        <w:t xml:space="preserve">NIC 38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Activos Intangibles</w:t>
      </w:r>
    </w:p>
    <w:p w:rsidR="00205776" w:rsidRPr="009423C0" w:rsidRDefault="00205776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5F6062"/>
          <w:sz w:val="20"/>
          <w:szCs w:val="20"/>
        </w:rPr>
      </w:pPr>
      <w:r w:rsidRPr="009423C0">
        <w:rPr>
          <w:rFonts w:ascii="Times New Roman" w:hAnsi="Times New Roman" w:cs="Times New Roman"/>
          <w:iCs/>
          <w:color w:val="5F6062"/>
          <w:sz w:val="20"/>
          <w:szCs w:val="20"/>
        </w:rPr>
        <w:t>.</w:t>
      </w:r>
    </w:p>
    <w:p w:rsidR="00205776" w:rsidRPr="009423C0" w:rsidRDefault="00205776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El objetivo de esta Norma es prescribir el tratamiento contable de los act</w:t>
      </w:r>
      <w:r w:rsidR="00396384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ivos intangibles que no estén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contemplados específicamente en otra Norma. Esta Norma requiere que las</w:t>
      </w:r>
      <w:r w:rsidR="00396384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entidades reconozcan un activo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intangible si, y sólo si, se cumplen ciertos criterios. La Norma también especi</w:t>
      </w:r>
      <w:r w:rsidR="00396384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fica cómo determinar el importe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en libros de los activos intangibles, y exige revelar información específica sobre estos activos.</w:t>
      </w:r>
    </w:p>
    <w:p w:rsidR="00706066" w:rsidRPr="009423C0" w:rsidRDefault="00205776" w:rsidP="00396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Un activo intangible es un activo identificable, de carácter no monetario y sin apariencia física.</w:t>
      </w:r>
    </w:p>
    <w:p w:rsidR="00205776" w:rsidRPr="009423C0" w:rsidRDefault="00205776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9"/>
          <w:szCs w:val="29"/>
        </w:rPr>
      </w:pPr>
      <w:r w:rsidRPr="009423C0">
        <w:rPr>
          <w:rFonts w:ascii="Times New Roman" w:hAnsi="Times New Roman" w:cs="Times New Roman"/>
          <w:b/>
          <w:bCs/>
          <w:color w:val="FFFFFF"/>
          <w:sz w:val="29"/>
          <w:szCs w:val="29"/>
        </w:rPr>
        <w:t>Resumen tico</w:t>
      </w:r>
    </w:p>
    <w:p w:rsidR="00205776" w:rsidRPr="009423C0" w:rsidRDefault="00205776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49"/>
          <w:szCs w:val="49"/>
        </w:rPr>
      </w:pPr>
      <w:r w:rsidRPr="009423C0">
        <w:rPr>
          <w:rFonts w:ascii="Times New Roman" w:hAnsi="Times New Roman" w:cs="Times New Roman"/>
          <w:b/>
          <w:bCs/>
          <w:color w:val="000000"/>
          <w:sz w:val="28"/>
          <w:szCs w:val="49"/>
        </w:rPr>
        <w:t xml:space="preserve">NIC 40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Propiedades de Inversión</w:t>
      </w:r>
    </w:p>
    <w:p w:rsidR="00205776" w:rsidRPr="009423C0" w:rsidRDefault="00205776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5F6062"/>
          <w:sz w:val="20"/>
          <w:szCs w:val="20"/>
        </w:rPr>
      </w:pPr>
      <w:r w:rsidRPr="009423C0">
        <w:rPr>
          <w:rFonts w:ascii="Times New Roman" w:hAnsi="Times New Roman" w:cs="Times New Roman"/>
          <w:iCs/>
          <w:color w:val="5F6062"/>
          <w:sz w:val="20"/>
          <w:szCs w:val="20"/>
        </w:rPr>
        <w:t>.</w:t>
      </w:r>
    </w:p>
    <w:p w:rsidR="00205776" w:rsidRPr="009423C0" w:rsidRDefault="00205776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El objetivo de esta Norma es prescribir el tratamiento contable de las propiedade</w:t>
      </w:r>
      <w:r w:rsidR="00F70778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s de inversión y las exigencias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de revelación de información correspondientes.</w:t>
      </w:r>
    </w:p>
    <w:p w:rsidR="00F16F6B" w:rsidRPr="009423C0" w:rsidRDefault="00205776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Propiedades de inversión son propiedades (terrenos o edificios, considerados en </w:t>
      </w:r>
      <w:r w:rsidR="00F70778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su totalidad o en parte, o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ambos) que se tienen (por parte del dueño o por </w:t>
      </w:r>
      <w:r w:rsidR="00F70778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parte del arrendatario que haya acordado un arrendamiento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financiero) para obtener rentas, plusvalías o ambas</w:t>
      </w:r>
      <w:r w:rsidR="00F16F6B" w:rsidRPr="009423C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F16F6B" w:rsidRPr="009423C0" w:rsidRDefault="00F16F6B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05776" w:rsidRPr="009423C0" w:rsidRDefault="00205776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</w:pPr>
      <w:r w:rsidRPr="009423C0">
        <w:rPr>
          <w:rFonts w:ascii="Times New Roman" w:hAnsi="Times New Roman" w:cs="Times New Roman"/>
          <w:b/>
          <w:bCs/>
          <w:color w:val="000000"/>
          <w:sz w:val="28"/>
          <w:szCs w:val="49"/>
        </w:rPr>
        <w:t xml:space="preserve">NIC 41 </w:t>
      </w:r>
      <w:r w:rsidRPr="009423C0">
        <w:rPr>
          <w:rFonts w:ascii="Times New Roman" w:hAnsi="Times New Roman" w:cs="Times New Roman"/>
          <w:b/>
          <w:bCs/>
          <w:iCs/>
          <w:color w:val="000000"/>
          <w:sz w:val="28"/>
          <w:szCs w:val="49"/>
        </w:rPr>
        <w:t>Agricultura</w:t>
      </w:r>
    </w:p>
    <w:p w:rsidR="00205776" w:rsidRPr="009423C0" w:rsidRDefault="00205776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5F6062"/>
          <w:sz w:val="20"/>
          <w:szCs w:val="20"/>
        </w:rPr>
      </w:pPr>
      <w:r w:rsidRPr="009423C0">
        <w:rPr>
          <w:rFonts w:ascii="Times New Roman" w:hAnsi="Times New Roman" w:cs="Times New Roman"/>
          <w:iCs/>
          <w:color w:val="5F6062"/>
          <w:sz w:val="20"/>
          <w:szCs w:val="20"/>
        </w:rPr>
        <w:t>.</w:t>
      </w:r>
    </w:p>
    <w:p w:rsidR="00205776" w:rsidRPr="009423C0" w:rsidRDefault="00205776" w:rsidP="008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>El objetivo de esta Norma es prescribir el tratamiento contable, la presentación en los estados financieros y</w:t>
      </w:r>
      <w:r w:rsidR="00F16F6B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información a revelar en relación con la actividad agrícola.</w:t>
      </w:r>
    </w:p>
    <w:p w:rsidR="0052665B" w:rsidRPr="009423C0" w:rsidRDefault="00205776" w:rsidP="00F1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Actividad agrícola es la gestión, por parte de una </w:t>
      </w:r>
      <w:r w:rsidR="00F16F6B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entidad, de la transformación y recolección de activos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biológicos, para destinarlos a la venta,</w:t>
      </w:r>
      <w:r w:rsidR="00F16F6B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 para convertirlos en productos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agrícolas o e</w:t>
      </w:r>
      <w:r w:rsidR="00F16F6B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n otros activos biológicos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adicionales. La transformación biológica comprende los procesos de crecimi</w:t>
      </w:r>
      <w:r w:rsidR="00F16F6B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ento, degradación, producción y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proc</w:t>
      </w:r>
      <w:r w:rsidR="00F16F6B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reación que son la causa de los </w:t>
      </w:r>
      <w:r w:rsidRPr="009423C0">
        <w:rPr>
          <w:rFonts w:ascii="Times New Roman" w:hAnsi="Times New Roman" w:cs="Times New Roman"/>
          <w:color w:val="000000"/>
          <w:sz w:val="23"/>
          <w:szCs w:val="23"/>
        </w:rPr>
        <w:t>cambios cualitativos o cuantitativos en lo</w:t>
      </w:r>
      <w:r w:rsidR="00F16F6B" w:rsidRPr="009423C0">
        <w:rPr>
          <w:rFonts w:ascii="Times New Roman" w:hAnsi="Times New Roman" w:cs="Times New Roman"/>
          <w:color w:val="000000"/>
          <w:sz w:val="23"/>
          <w:szCs w:val="23"/>
        </w:rPr>
        <w:t xml:space="preserve">s activos biológicos. </w:t>
      </w:r>
    </w:p>
    <w:p w:rsidR="00F16F6B" w:rsidRPr="009423C0" w:rsidRDefault="00F16F6B" w:rsidP="00F1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6F6B" w:rsidRPr="009423C0" w:rsidRDefault="00F16F6B" w:rsidP="00F1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6F6B" w:rsidRPr="009423C0" w:rsidRDefault="00F16F6B" w:rsidP="00F1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6F6B" w:rsidRPr="009423C0" w:rsidRDefault="00F16F6B" w:rsidP="00F1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6F6B" w:rsidRPr="009423C0" w:rsidRDefault="00F16F6B" w:rsidP="00F1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6F6B" w:rsidRPr="009423C0" w:rsidRDefault="00F16F6B" w:rsidP="00F1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6F6B" w:rsidRPr="009423C0" w:rsidRDefault="00F16F6B" w:rsidP="00F1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6F6B" w:rsidRPr="009423C0" w:rsidRDefault="00F16F6B" w:rsidP="00F1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6F6B" w:rsidRPr="009423C0" w:rsidRDefault="00F16F6B" w:rsidP="00F1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6F6B" w:rsidRPr="009423C0" w:rsidRDefault="00F16F6B" w:rsidP="00F1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6F6B" w:rsidRPr="009423C0" w:rsidRDefault="00F16F6B" w:rsidP="00F1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6F6B" w:rsidRPr="009423C0" w:rsidRDefault="00F16F6B" w:rsidP="00F1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6F6B" w:rsidRPr="009423C0" w:rsidRDefault="00F16F6B" w:rsidP="00F1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75F43" w:rsidRPr="009423C0" w:rsidRDefault="00075F43" w:rsidP="00F1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75F43" w:rsidRPr="009423C0" w:rsidRDefault="00075F43" w:rsidP="00F1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75F43" w:rsidRPr="009423C0" w:rsidRDefault="00075F43" w:rsidP="00F1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75F43" w:rsidRPr="009423C0" w:rsidRDefault="00075F43" w:rsidP="00F1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75F43" w:rsidRPr="009423C0" w:rsidRDefault="00075F43" w:rsidP="00F1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75F43" w:rsidRPr="009423C0" w:rsidRDefault="00075F43" w:rsidP="00F1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75F43" w:rsidRPr="009423C0" w:rsidRDefault="00075F43" w:rsidP="00F1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6F6B" w:rsidRPr="009423C0" w:rsidRDefault="00F16F6B" w:rsidP="00F1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6F6B" w:rsidRPr="009423C0" w:rsidRDefault="00F16F6B" w:rsidP="00F1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6F6B" w:rsidRPr="009423C0" w:rsidRDefault="00F16F6B" w:rsidP="00F1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6F6B" w:rsidRPr="009423C0" w:rsidRDefault="00F16F6B" w:rsidP="00F1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6F6B" w:rsidRPr="009423C0" w:rsidRDefault="00F16F6B" w:rsidP="00F1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F16F6B" w:rsidRPr="009423C0" w:rsidRDefault="0073236E" w:rsidP="00F1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BIBLIO</w:t>
      </w:r>
      <w:r w:rsidR="00F16F6B" w:rsidRPr="009423C0">
        <w:rPr>
          <w:rFonts w:ascii="Times New Roman" w:hAnsi="Times New Roman" w:cs="Times New Roman"/>
          <w:color w:val="000000"/>
          <w:sz w:val="23"/>
          <w:szCs w:val="23"/>
        </w:rPr>
        <w:t>GRAFIA</w:t>
      </w:r>
    </w:p>
    <w:p w:rsidR="00F16F6B" w:rsidRPr="009423C0" w:rsidRDefault="00F16F6B" w:rsidP="00F1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2665B" w:rsidRDefault="00975098" w:rsidP="008A79F0">
      <w:pPr>
        <w:jc w:val="both"/>
      </w:pPr>
      <w:hyperlink r:id="rId6" w:history="1">
        <w:r w:rsidRPr="000E4AF1">
          <w:rPr>
            <w:rStyle w:val="Hipervnculo"/>
          </w:rPr>
          <w:t>http://www.ifrs.org/NR/rdonlyres/ACECFD10-0EFB-4B84-8B64-CED4CB67C08E/0/IAS41.pdf</w:t>
        </w:r>
      </w:hyperlink>
    </w:p>
    <w:p w:rsidR="00975098" w:rsidRDefault="00975098" w:rsidP="008A79F0">
      <w:pPr>
        <w:jc w:val="both"/>
      </w:pPr>
      <w:r w:rsidRPr="00975098">
        <w:t>http://www.normasinternacionalesdecontabilidad.es/nic/nic.htm</w:t>
      </w:r>
    </w:p>
    <w:sectPr w:rsidR="00975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A5"/>
    <w:rsid w:val="00075F43"/>
    <w:rsid w:val="000E7667"/>
    <w:rsid w:val="000F14CC"/>
    <w:rsid w:val="001E7081"/>
    <w:rsid w:val="00205776"/>
    <w:rsid w:val="00296E60"/>
    <w:rsid w:val="00396384"/>
    <w:rsid w:val="003C2517"/>
    <w:rsid w:val="004532CA"/>
    <w:rsid w:val="0052665B"/>
    <w:rsid w:val="005A5F00"/>
    <w:rsid w:val="005B52CC"/>
    <w:rsid w:val="006904A5"/>
    <w:rsid w:val="00706066"/>
    <w:rsid w:val="00721AB6"/>
    <w:rsid w:val="0073236E"/>
    <w:rsid w:val="00737284"/>
    <w:rsid w:val="007C630A"/>
    <w:rsid w:val="007E2817"/>
    <w:rsid w:val="008A79F0"/>
    <w:rsid w:val="009423C0"/>
    <w:rsid w:val="00975098"/>
    <w:rsid w:val="009D1C1A"/>
    <w:rsid w:val="00A83F34"/>
    <w:rsid w:val="00AB259E"/>
    <w:rsid w:val="00B17B92"/>
    <w:rsid w:val="00B26BD8"/>
    <w:rsid w:val="00B623E0"/>
    <w:rsid w:val="00B73B56"/>
    <w:rsid w:val="00B8386C"/>
    <w:rsid w:val="00BB5EFA"/>
    <w:rsid w:val="00C45501"/>
    <w:rsid w:val="00C55260"/>
    <w:rsid w:val="00C6105D"/>
    <w:rsid w:val="00D20718"/>
    <w:rsid w:val="00D243A9"/>
    <w:rsid w:val="00DE08FF"/>
    <w:rsid w:val="00E334CB"/>
    <w:rsid w:val="00E8632B"/>
    <w:rsid w:val="00EB3FD6"/>
    <w:rsid w:val="00EE68A7"/>
    <w:rsid w:val="00F14FD7"/>
    <w:rsid w:val="00F16F6B"/>
    <w:rsid w:val="00F7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5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5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frs.org/NR/rdonlyres/ACECFD10-0EFB-4B84-8B64-CED4CB67C08E/0/IAS4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33C3-036C-4F32-B42E-51465E15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2375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</dc:creator>
  <cp:lastModifiedBy>user</cp:lastModifiedBy>
  <cp:revision>3</cp:revision>
  <dcterms:created xsi:type="dcterms:W3CDTF">2013-03-09T02:51:00Z</dcterms:created>
  <dcterms:modified xsi:type="dcterms:W3CDTF">2013-03-09T02:52:00Z</dcterms:modified>
</cp:coreProperties>
</file>