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51" w:type="dxa"/>
        <w:tblInd w:w="-1168" w:type="dxa"/>
        <w:tblLook w:val="04A0" w:firstRow="1" w:lastRow="0" w:firstColumn="1" w:lastColumn="0" w:noHBand="0" w:noVBand="1"/>
      </w:tblPr>
      <w:tblGrid>
        <w:gridCol w:w="1540"/>
        <w:gridCol w:w="2571"/>
        <w:gridCol w:w="2819"/>
        <w:gridCol w:w="1576"/>
        <w:gridCol w:w="2333"/>
        <w:gridCol w:w="1871"/>
        <w:gridCol w:w="2741"/>
      </w:tblGrid>
      <w:tr w:rsidR="00E02EF9" w:rsidRPr="00375398" w:rsidTr="0087362C">
        <w:trPr>
          <w:trHeight w:val="292"/>
        </w:trPr>
        <w:tc>
          <w:tcPr>
            <w:tcW w:w="1540" w:type="dxa"/>
          </w:tcPr>
          <w:p w:rsidR="00E02EF9" w:rsidRPr="00375398" w:rsidRDefault="00E02EF9" w:rsidP="00A5694D">
            <w:pPr>
              <w:rPr>
                <w:b/>
              </w:rPr>
            </w:pPr>
            <w:r w:rsidRPr="00375398">
              <w:rPr>
                <w:b/>
              </w:rPr>
              <w:t>Name Of Drug</w:t>
            </w:r>
          </w:p>
        </w:tc>
        <w:tc>
          <w:tcPr>
            <w:tcW w:w="2571" w:type="dxa"/>
          </w:tcPr>
          <w:p w:rsidR="00E02EF9" w:rsidRPr="00375398" w:rsidRDefault="00E02EF9" w:rsidP="00A5694D">
            <w:pPr>
              <w:rPr>
                <w:b/>
              </w:rPr>
            </w:pPr>
            <w:r w:rsidRPr="00375398">
              <w:rPr>
                <w:b/>
              </w:rPr>
              <w:t>Mechanism of Action</w:t>
            </w:r>
          </w:p>
        </w:tc>
        <w:tc>
          <w:tcPr>
            <w:tcW w:w="2819" w:type="dxa"/>
          </w:tcPr>
          <w:p w:rsidR="00E02EF9" w:rsidRPr="00375398" w:rsidRDefault="00E02EF9" w:rsidP="00A5694D">
            <w:pPr>
              <w:rPr>
                <w:b/>
              </w:rPr>
            </w:pPr>
            <w:r w:rsidRPr="00375398">
              <w:rPr>
                <w:b/>
              </w:rPr>
              <w:t>Parasite it affects (lifecycle)</w:t>
            </w:r>
          </w:p>
        </w:tc>
        <w:tc>
          <w:tcPr>
            <w:tcW w:w="1576" w:type="dxa"/>
          </w:tcPr>
          <w:p w:rsidR="00E02EF9" w:rsidRPr="00375398" w:rsidRDefault="00E02EF9" w:rsidP="00A5694D">
            <w:pPr>
              <w:rPr>
                <w:b/>
              </w:rPr>
            </w:pPr>
            <w:r w:rsidRPr="00375398">
              <w:rPr>
                <w:b/>
              </w:rPr>
              <w:t xml:space="preserve">Dose </w:t>
            </w:r>
          </w:p>
        </w:tc>
        <w:tc>
          <w:tcPr>
            <w:tcW w:w="2333" w:type="dxa"/>
          </w:tcPr>
          <w:p w:rsidR="00E02EF9" w:rsidRPr="00375398" w:rsidRDefault="00E02EF9" w:rsidP="00A5694D">
            <w:pPr>
              <w:pStyle w:val="NoSpacing"/>
              <w:rPr>
                <w:b/>
              </w:rPr>
            </w:pPr>
            <w:r w:rsidRPr="00375398">
              <w:rPr>
                <w:b/>
              </w:rPr>
              <w:t>Contraindications and Side effects</w:t>
            </w:r>
          </w:p>
        </w:tc>
        <w:tc>
          <w:tcPr>
            <w:tcW w:w="1871" w:type="dxa"/>
          </w:tcPr>
          <w:p w:rsidR="00E02EF9" w:rsidRPr="00375398" w:rsidRDefault="00E02EF9" w:rsidP="00A5694D">
            <w:pPr>
              <w:pStyle w:val="NoSpacing"/>
              <w:rPr>
                <w:b/>
              </w:rPr>
            </w:pPr>
            <w:r w:rsidRPr="00375398">
              <w:rPr>
                <w:b/>
              </w:rPr>
              <w:t>Route of Administration</w:t>
            </w:r>
          </w:p>
        </w:tc>
        <w:tc>
          <w:tcPr>
            <w:tcW w:w="2741" w:type="dxa"/>
          </w:tcPr>
          <w:p w:rsidR="00E02EF9" w:rsidRPr="00375398" w:rsidRDefault="00E02EF9" w:rsidP="00A5694D">
            <w:pPr>
              <w:rPr>
                <w:b/>
              </w:rPr>
            </w:pPr>
            <w:r w:rsidRPr="00375398">
              <w:rPr>
                <w:b/>
              </w:rPr>
              <w:t>Other Information</w:t>
            </w:r>
          </w:p>
        </w:tc>
      </w:tr>
      <w:tr w:rsidR="00A51662" w:rsidTr="0087362C">
        <w:trPr>
          <w:trHeight w:val="292"/>
        </w:trPr>
        <w:tc>
          <w:tcPr>
            <w:tcW w:w="1540" w:type="dxa"/>
          </w:tcPr>
          <w:p w:rsidR="00A51662" w:rsidRDefault="00A51662" w:rsidP="00AC686B">
            <w:pPr>
              <w:pStyle w:val="NoSpacing"/>
            </w:pPr>
            <w:r w:rsidRPr="00AC686B">
              <w:t>Dichlorvos</w:t>
            </w:r>
          </w:p>
          <w:p w:rsidR="00A51662" w:rsidRPr="00AC686B" w:rsidRDefault="00A51662" w:rsidP="00AC686B">
            <w:pPr>
              <w:pStyle w:val="NoSpacing"/>
            </w:pPr>
          </w:p>
          <w:p w:rsidR="00A51662" w:rsidRPr="00AC686B" w:rsidRDefault="00A51662" w:rsidP="00AC686B">
            <w:pPr>
              <w:pStyle w:val="NoSpacing"/>
            </w:pPr>
          </w:p>
        </w:tc>
        <w:tc>
          <w:tcPr>
            <w:tcW w:w="2571" w:type="dxa"/>
          </w:tcPr>
          <w:p w:rsidR="00A51662" w:rsidRDefault="00A51662" w:rsidP="00AC686B">
            <w:pPr>
              <w:pStyle w:val="NoSpacing"/>
            </w:pPr>
            <w:r w:rsidRPr="00AC686B">
              <w:t>OPs phosphorylate the esteratic site of acetyl cholinesterase</w:t>
            </w:r>
            <w:r>
              <w:t xml:space="preserve"> (ACHase), </w:t>
            </w:r>
            <w:r w:rsidRPr="00AC686B">
              <w:t>as a re</w:t>
            </w:r>
            <w:r>
              <w:t xml:space="preserve">sult ACHase cannot cleave ACH, </w:t>
            </w:r>
            <w:r w:rsidRPr="00AC686B">
              <w:t>and ACH accumulates at the post-synaptic membrane.</w:t>
            </w:r>
          </w:p>
          <w:p w:rsidR="00A51662" w:rsidRDefault="00A51662" w:rsidP="00AC686B">
            <w:pPr>
              <w:pStyle w:val="NoSpacing"/>
            </w:pPr>
          </w:p>
          <w:p w:rsidR="00A51662" w:rsidRDefault="00A51662" w:rsidP="00734973">
            <w:pPr>
              <w:pStyle w:val="NoSpacing"/>
            </w:pPr>
            <w:r>
              <w:t>T</w:t>
            </w:r>
            <w:r w:rsidRPr="00734973">
              <w:t>he organophosphate anthelmintic has selective toxicity to the ACHase of nematodes with little or no toxicity to the mammalian host.</w:t>
            </w:r>
          </w:p>
          <w:p w:rsidR="00A51662" w:rsidRDefault="00A51662" w:rsidP="00734973">
            <w:pPr>
              <w:pStyle w:val="NoSpacing"/>
            </w:pPr>
          </w:p>
          <w:p w:rsidR="00A51662" w:rsidRPr="00734973" w:rsidRDefault="00A51662" w:rsidP="00F11321">
            <w:pPr>
              <w:pStyle w:val="NoSpacing"/>
            </w:pPr>
            <w:r>
              <w:t>Intoxication of the nematode results in a spastic paralysis, the nematode is then unable to maintain its station within the GIT and is removed by peristalsis.</w:t>
            </w:r>
          </w:p>
        </w:tc>
        <w:tc>
          <w:tcPr>
            <w:tcW w:w="2819" w:type="dxa"/>
          </w:tcPr>
          <w:p w:rsidR="00A51662" w:rsidRDefault="002C5F61" w:rsidP="002C5F61">
            <w:pPr>
              <w:pStyle w:val="NoSpacing"/>
            </w:pPr>
            <w:r w:rsidRPr="002C5F61">
              <w:t>Dogs and cats for the treatment of</w:t>
            </w:r>
            <w:r>
              <w:t xml:space="preserve"> </w:t>
            </w:r>
            <w:r w:rsidRPr="002C5F61">
              <w:t xml:space="preserve">roundworms (Toxocara canis, Toxocara cati, </w:t>
            </w:r>
            <w:proofErr w:type="spellStart"/>
            <w:r w:rsidRPr="002C5F61">
              <w:t>Toxacaris</w:t>
            </w:r>
            <w:proofErr w:type="spellEnd"/>
            <w:r w:rsidRPr="002C5F61">
              <w:t xml:space="preserve"> </w:t>
            </w:r>
            <w:proofErr w:type="spellStart"/>
            <w:r w:rsidRPr="002C5F61">
              <w:t>leonina</w:t>
            </w:r>
            <w:proofErr w:type="spellEnd"/>
            <w:r w:rsidRPr="002C5F61">
              <w:t>) and hookworms (</w:t>
            </w:r>
            <w:r>
              <w:t xml:space="preserve">Ancylostoma </w:t>
            </w:r>
            <w:r w:rsidRPr="002C5F61">
              <w:t>caninum, Ancylostoma tubaeforme, Uncinaria stenocephala). I</w:t>
            </w:r>
            <w:r>
              <w:t xml:space="preserve">t is effective in swine against </w:t>
            </w:r>
            <w:r w:rsidRPr="002C5F61">
              <w:t xml:space="preserve">Ascaris, Trichuris, </w:t>
            </w:r>
            <w:proofErr w:type="spellStart"/>
            <w:r w:rsidRPr="002C5F61">
              <w:t>Ascarops</w:t>
            </w:r>
            <w:proofErr w:type="spellEnd"/>
            <w:r w:rsidRPr="002C5F61">
              <w:t xml:space="preserve"> </w:t>
            </w:r>
            <w:proofErr w:type="spellStart"/>
            <w:r w:rsidRPr="002C5F61">
              <w:t>strongylina</w:t>
            </w:r>
            <w:proofErr w:type="spellEnd"/>
            <w:r w:rsidRPr="002C5F61">
              <w:t xml:space="preserve"> and Oesophagostomum spp. I</w:t>
            </w:r>
            <w:r>
              <w:t xml:space="preserve">n horses, dichlorvos is labelled </w:t>
            </w:r>
            <w:r w:rsidRPr="002C5F61">
              <w:t>as being effective for the treatment and control of bots, pinwo</w:t>
            </w:r>
            <w:r>
              <w:t xml:space="preserve">rms, large and small bloodworms </w:t>
            </w:r>
            <w:r w:rsidRPr="002C5F61">
              <w:t xml:space="preserve">and large roundworms. It is also used as a premise spray to </w:t>
            </w:r>
            <w:r>
              <w:t xml:space="preserve">keep fly populations controlled </w:t>
            </w:r>
            <w:r w:rsidRPr="002C5F61">
              <w:t>and as a flea and tick collar for dogs and cats.</w:t>
            </w:r>
          </w:p>
        </w:tc>
        <w:tc>
          <w:tcPr>
            <w:tcW w:w="1576" w:type="dxa"/>
          </w:tcPr>
          <w:p w:rsidR="00A51662" w:rsidRDefault="0087362C" w:rsidP="00A5694D">
            <w:r>
              <w:t>Dogs:</w:t>
            </w:r>
          </w:p>
          <w:p w:rsidR="0087362C" w:rsidRDefault="0087362C" w:rsidP="00A5694D">
            <w:pPr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t>26.4 - 33 mg/kg PO</w:t>
            </w:r>
          </w:p>
          <w:p w:rsidR="0087362C" w:rsidRDefault="0087362C" w:rsidP="00A5694D">
            <w:pPr>
              <w:rPr>
                <w:rFonts w:ascii="MSTT31c288" w:hAnsi="MSTT31c288" w:cs="MSTT31c288"/>
                <w:sz w:val="19"/>
                <w:szCs w:val="19"/>
              </w:rPr>
            </w:pPr>
          </w:p>
          <w:p w:rsidR="0087362C" w:rsidRDefault="0087362C" w:rsidP="00A5694D">
            <w:pPr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t>Cats:</w:t>
            </w:r>
          </w:p>
          <w:p w:rsidR="0087362C" w:rsidRDefault="0087362C" w:rsidP="00A5694D">
            <w:r>
              <w:rPr>
                <w:rFonts w:ascii="MSTT31c288" w:hAnsi="MSTT31c288" w:cs="MSTT31c288"/>
                <w:sz w:val="19"/>
                <w:szCs w:val="19"/>
              </w:rPr>
              <w:t>11 mg/kg PO</w:t>
            </w:r>
          </w:p>
        </w:tc>
        <w:tc>
          <w:tcPr>
            <w:tcW w:w="2333" w:type="dxa"/>
          </w:tcPr>
          <w:p w:rsidR="00A51662" w:rsidRPr="003247A7" w:rsidRDefault="00A51662" w:rsidP="003247A7">
            <w:pPr>
              <w:pStyle w:val="NoSpacing"/>
            </w:pPr>
            <w:r w:rsidRPr="003247A7">
              <w:t xml:space="preserve">Signs of mammalian toxicity: </w:t>
            </w:r>
          </w:p>
          <w:p w:rsidR="00A51662" w:rsidRPr="003247A7" w:rsidRDefault="00E84320" w:rsidP="003247A7">
            <w:pPr>
              <w:pStyle w:val="NoSpacing"/>
            </w:pPr>
            <w:r>
              <w:t>- I</w:t>
            </w:r>
            <w:r w:rsidR="00A51662" w:rsidRPr="003247A7">
              <w:t xml:space="preserve">ncreased urination/defecation, </w:t>
            </w:r>
          </w:p>
          <w:p w:rsidR="00A51662" w:rsidRPr="003247A7" w:rsidRDefault="00E84320" w:rsidP="003247A7">
            <w:pPr>
              <w:pStyle w:val="NoSpacing"/>
            </w:pPr>
            <w:r>
              <w:t>- V</w:t>
            </w:r>
            <w:r w:rsidR="00A51662" w:rsidRPr="003247A7">
              <w:t xml:space="preserve">omiting, </w:t>
            </w:r>
          </w:p>
          <w:p w:rsidR="00A51662" w:rsidRPr="003247A7" w:rsidRDefault="00E84320" w:rsidP="003247A7">
            <w:pPr>
              <w:pStyle w:val="NoSpacing"/>
            </w:pPr>
            <w:r>
              <w:t>- I</w:t>
            </w:r>
            <w:r w:rsidR="00A51662" w:rsidRPr="003247A7">
              <w:t xml:space="preserve">ncreased lacrimation, </w:t>
            </w:r>
          </w:p>
          <w:p w:rsidR="00A51662" w:rsidRPr="003247A7" w:rsidRDefault="00E84320" w:rsidP="003247A7">
            <w:pPr>
              <w:pStyle w:val="NoSpacing"/>
            </w:pPr>
            <w:r>
              <w:t>- S</w:t>
            </w:r>
            <w:r w:rsidR="00A51662" w:rsidRPr="003247A7">
              <w:t xml:space="preserve">alivation and </w:t>
            </w:r>
          </w:p>
          <w:p w:rsidR="00A51662" w:rsidRPr="003247A7" w:rsidRDefault="00A51662" w:rsidP="003247A7">
            <w:pPr>
              <w:pStyle w:val="NoSpacing"/>
            </w:pPr>
            <w:r w:rsidRPr="003247A7">
              <w:t>- Muscular</w:t>
            </w:r>
            <w:r w:rsidR="00B17E16" w:rsidRPr="003247A7">
              <w:t xml:space="preserve"> twitching</w:t>
            </w:r>
          </w:p>
          <w:p w:rsidR="00B17E16" w:rsidRPr="003247A7" w:rsidRDefault="00B17E16" w:rsidP="003247A7">
            <w:pPr>
              <w:pStyle w:val="NoSpacing"/>
            </w:pPr>
          </w:p>
          <w:p w:rsidR="00B17E16" w:rsidRPr="003247A7" w:rsidRDefault="00B17E16" w:rsidP="003247A7">
            <w:pPr>
              <w:pStyle w:val="NoSpacing"/>
            </w:pPr>
            <w:r w:rsidRPr="003247A7">
              <w:t xml:space="preserve">Treatment of Toxicity </w:t>
            </w:r>
          </w:p>
          <w:p w:rsidR="00B17E16" w:rsidRPr="003247A7" w:rsidRDefault="001329E7" w:rsidP="003247A7">
            <w:pPr>
              <w:pStyle w:val="NoSpacing"/>
            </w:pPr>
            <w:r w:rsidRPr="003247A7">
              <w:t xml:space="preserve">- </w:t>
            </w:r>
            <w:r w:rsidR="00E84320">
              <w:t>A</w:t>
            </w:r>
            <w:r w:rsidR="00B17E16" w:rsidRPr="003247A7">
              <w:t xml:space="preserve">tropine or 2-PAM (pyradine-2-aldoxime) </w:t>
            </w:r>
          </w:p>
          <w:p w:rsidR="00B17E16" w:rsidRPr="003247A7" w:rsidRDefault="00B17E16" w:rsidP="003247A7">
            <w:pPr>
              <w:pStyle w:val="NoSpacing"/>
            </w:pPr>
            <w:r w:rsidRPr="003247A7">
              <w:t>- 2-PAM reactivat</w:t>
            </w:r>
            <w:r w:rsidR="00B445A0" w:rsidRPr="003247A7">
              <w:t>es the esteratic site of ACHase</w:t>
            </w:r>
          </w:p>
          <w:p w:rsidR="003247A7" w:rsidRPr="003247A7" w:rsidRDefault="003247A7" w:rsidP="003247A7">
            <w:pPr>
              <w:pStyle w:val="NoSpacing"/>
            </w:pPr>
          </w:p>
          <w:p w:rsidR="003247A7" w:rsidRPr="003247A7" w:rsidRDefault="003247A7" w:rsidP="003247A7">
            <w:pPr>
              <w:pStyle w:val="NoSpacing"/>
            </w:pPr>
            <w:r w:rsidRPr="003247A7">
              <w:t>Contrai</w:t>
            </w:r>
            <w:r w:rsidR="00274CE4">
              <w:t>ndication</w:t>
            </w:r>
          </w:p>
          <w:p w:rsidR="003247A7" w:rsidRPr="003247A7" w:rsidRDefault="003247A7" w:rsidP="003247A7">
            <w:pPr>
              <w:pStyle w:val="NoSpacing"/>
            </w:pPr>
            <w:r>
              <w:t>- T</w:t>
            </w:r>
            <w:r w:rsidRPr="003247A7">
              <w:t xml:space="preserve">reatment with the same and different OP within a few days of the previous treatment. 16 </w:t>
            </w:r>
          </w:p>
          <w:p w:rsidR="003247A7" w:rsidRPr="003247A7" w:rsidRDefault="003247A7" w:rsidP="003247A7">
            <w:pPr>
              <w:pStyle w:val="NoSpacing"/>
            </w:pPr>
            <w:r>
              <w:t>- C</w:t>
            </w:r>
            <w:r w:rsidRPr="003247A7">
              <w:t>oncurrent use of muscle relaxants e.g. succinylcholine</w:t>
            </w:r>
          </w:p>
        </w:tc>
        <w:tc>
          <w:tcPr>
            <w:tcW w:w="1871" w:type="dxa"/>
          </w:tcPr>
          <w:p w:rsidR="00A51662" w:rsidRDefault="0087362C" w:rsidP="00A5694D">
            <w:r>
              <w:t>Oral</w:t>
            </w:r>
          </w:p>
        </w:tc>
        <w:tc>
          <w:tcPr>
            <w:tcW w:w="2741" w:type="dxa"/>
          </w:tcPr>
          <w:p w:rsidR="0087362C" w:rsidRPr="0087362C" w:rsidRDefault="0087362C" w:rsidP="0087362C">
            <w:pPr>
              <w:pStyle w:val="NoSpacing"/>
            </w:pPr>
            <w:r w:rsidRPr="0087362C">
              <w:t>Acepromazine or other phenothiazines should not be given within one</w:t>
            </w:r>
            <w:r>
              <w:t xml:space="preserve"> </w:t>
            </w:r>
            <w:r w:rsidRPr="0087362C">
              <w:t>month of worming with an organophosphate agent as their effects</w:t>
            </w:r>
            <w:r>
              <w:t xml:space="preserve"> may be potentiated. Because of </w:t>
            </w:r>
            <w:r w:rsidRPr="0087362C">
              <w:t>its anticholinesterase activity, avoid the use of organophosphates with DMSO</w:t>
            </w:r>
            <w:r>
              <w:t xml:space="preserve">. Cythioate could </w:t>
            </w:r>
            <w:r w:rsidRPr="0087362C">
              <w:t xml:space="preserve">theoretically enhance the toxic effects of levamisole. Pyrantel Pamoate (or tartrate) </w:t>
            </w:r>
            <w:r>
              <w:t xml:space="preserve">adverse </w:t>
            </w:r>
            <w:r w:rsidRPr="0087362C">
              <w:t>effects could be intensified if used concomitantly with an orga</w:t>
            </w:r>
            <w:r>
              <w:t xml:space="preserve">nophosphate. Patients receiving </w:t>
            </w:r>
            <w:r w:rsidRPr="0087362C">
              <w:t xml:space="preserve">organophosphate anthelmintics should not receive succinylcholine </w:t>
            </w:r>
            <w:r>
              <w:t xml:space="preserve">or other depolarizing muscle </w:t>
            </w:r>
            <w:r w:rsidRPr="0087362C">
              <w:t>relaxants for at least 48 hours. Drugs such as morphine, neostigmine, physostigmine and</w:t>
            </w:r>
          </w:p>
          <w:p w:rsidR="00A51662" w:rsidRPr="0087362C" w:rsidRDefault="0087362C" w:rsidP="0087362C">
            <w:pPr>
              <w:pStyle w:val="NoSpacing"/>
            </w:pPr>
            <w:proofErr w:type="gramStart"/>
            <w:r w:rsidRPr="0087362C">
              <w:t>pyridostigmine</w:t>
            </w:r>
            <w:proofErr w:type="gramEnd"/>
            <w:r w:rsidRPr="0087362C">
              <w:t xml:space="preserve"> should be avoided when using organ</w:t>
            </w:r>
            <w:r>
              <w:t xml:space="preserve">ophosphates as they can inhibit </w:t>
            </w:r>
            <w:r w:rsidRPr="0087362C">
              <w:t>cholinesterase.</w:t>
            </w:r>
          </w:p>
        </w:tc>
      </w:tr>
      <w:tr w:rsidR="00BC19D9" w:rsidTr="0087362C">
        <w:trPr>
          <w:trHeight w:val="292"/>
        </w:trPr>
        <w:tc>
          <w:tcPr>
            <w:tcW w:w="1540" w:type="dxa"/>
          </w:tcPr>
          <w:p w:rsidR="00BC19D9" w:rsidRPr="00AC686B" w:rsidRDefault="00BC19D9" w:rsidP="00AC686B">
            <w:pPr>
              <w:pStyle w:val="NoSpacing"/>
            </w:pPr>
            <w:r>
              <w:t>Fenthion</w:t>
            </w:r>
          </w:p>
        </w:tc>
        <w:tc>
          <w:tcPr>
            <w:tcW w:w="2571" w:type="dxa"/>
          </w:tcPr>
          <w:p w:rsidR="00BC19D9" w:rsidRPr="00BC19D9" w:rsidRDefault="00BC19D9" w:rsidP="00BC19D9">
            <w:pPr>
              <w:pStyle w:val="NoSpacing"/>
            </w:pPr>
            <w:r w:rsidRPr="00BC19D9">
              <w:t xml:space="preserve">Fenthion is topically administered </w:t>
            </w:r>
            <w:r w:rsidRPr="00BC19D9">
              <w:lastRenderedPageBreak/>
              <w:t>organophosphate. Organophosphates act by</w:t>
            </w:r>
          </w:p>
          <w:p w:rsidR="00BC19D9" w:rsidRPr="00BC19D9" w:rsidRDefault="00BC19D9" w:rsidP="00BC19D9">
            <w:pPr>
              <w:pStyle w:val="NoSpacing"/>
            </w:pPr>
            <w:r>
              <w:t xml:space="preserve">Inhibiting </w:t>
            </w:r>
            <w:r w:rsidRPr="00BC19D9">
              <w:t>acetylcholinesterase, thereby</w:t>
            </w:r>
            <w:r>
              <w:t xml:space="preserve"> interfering with neuromuscular transmission of susceptible </w:t>
            </w:r>
            <w:r w:rsidRPr="00BC19D9">
              <w:t>parasites.</w:t>
            </w:r>
          </w:p>
        </w:tc>
        <w:tc>
          <w:tcPr>
            <w:tcW w:w="2819" w:type="dxa"/>
          </w:tcPr>
          <w:p w:rsidR="00BC19D9" w:rsidRPr="002C5F61" w:rsidRDefault="00BC19D9" w:rsidP="002C5F61">
            <w:pPr>
              <w:pStyle w:val="NoSpacing"/>
            </w:pPr>
            <w:r>
              <w:lastRenderedPageBreak/>
              <w:t xml:space="preserve">Fleas, lice </w:t>
            </w:r>
          </w:p>
        </w:tc>
        <w:tc>
          <w:tcPr>
            <w:tcW w:w="1576" w:type="dxa"/>
          </w:tcPr>
          <w:p w:rsidR="00BC19D9" w:rsidRDefault="00BC19D9" w:rsidP="00BC19D9">
            <w:pPr>
              <w:pStyle w:val="NoSpacing"/>
            </w:pPr>
            <w:r w:rsidRPr="00BC19D9">
              <w:t xml:space="preserve">The </w:t>
            </w:r>
            <w:proofErr w:type="spellStart"/>
            <w:r w:rsidRPr="00BC19D9">
              <w:t>labeled</w:t>
            </w:r>
            <w:proofErr w:type="spellEnd"/>
            <w:r w:rsidRPr="00BC19D9">
              <w:t xml:space="preserve"> dose is: 4 - 8 </w:t>
            </w:r>
            <w:r w:rsidRPr="00BC19D9">
              <w:lastRenderedPageBreak/>
              <w:t>mg/kg topically, not</w:t>
            </w:r>
            <w:r>
              <w:t xml:space="preserve"> </w:t>
            </w:r>
            <w:bookmarkStart w:id="0" w:name="_GoBack"/>
            <w:bookmarkEnd w:id="0"/>
            <w:r w:rsidRPr="00BC19D9">
              <w:t>more often than once every two weeks.</w:t>
            </w:r>
          </w:p>
        </w:tc>
        <w:tc>
          <w:tcPr>
            <w:tcW w:w="2333" w:type="dxa"/>
          </w:tcPr>
          <w:p w:rsidR="00BC19D9" w:rsidRPr="00BC19D9" w:rsidRDefault="00BC19D9" w:rsidP="00BC19D9">
            <w:pPr>
              <w:pStyle w:val="NoSpacing"/>
            </w:pPr>
            <w:r w:rsidRPr="00BC19D9">
              <w:lastRenderedPageBreak/>
              <w:t>Do not use on dogs less than 10 weeks</w:t>
            </w:r>
            <w:r>
              <w:t xml:space="preserve"> </w:t>
            </w:r>
            <w:r w:rsidRPr="00BC19D9">
              <w:t xml:space="preserve">of age </w:t>
            </w:r>
            <w:r w:rsidRPr="00BC19D9">
              <w:lastRenderedPageBreak/>
              <w:t>or on stressed, sick or</w:t>
            </w:r>
            <w:r>
              <w:t xml:space="preserve"> convalescing animals. Fenthion’</w:t>
            </w:r>
            <w:r w:rsidRPr="00BC19D9">
              <w:t>s</w:t>
            </w:r>
            <w:r>
              <w:t xml:space="preserve"> safety on breeding males or on </w:t>
            </w:r>
            <w:r w:rsidRPr="00BC19D9">
              <w:t>pregnant females has not been established.</w:t>
            </w:r>
          </w:p>
          <w:p w:rsidR="00BC19D9" w:rsidRPr="003247A7" w:rsidRDefault="00BC19D9" w:rsidP="00BC19D9">
            <w:pPr>
              <w:pStyle w:val="NoSpacing"/>
            </w:pPr>
            <w:r w:rsidRPr="00BC19D9">
              <w:t xml:space="preserve">Do not treat calves less than 3 months old, or on stressed, sick </w:t>
            </w:r>
            <w:r>
              <w:t xml:space="preserve">or convalescing animals. Do not </w:t>
            </w:r>
            <w:r w:rsidRPr="00BC19D9">
              <w:t>use in lactating animals. Do not treat cattle within 10 days of d</w:t>
            </w:r>
            <w:r>
              <w:t xml:space="preserve">ehorning, shipping, weaning, or </w:t>
            </w:r>
            <w:r w:rsidRPr="00BC19D9">
              <w:t>exposure to contagious or infectious disease.</w:t>
            </w:r>
          </w:p>
        </w:tc>
        <w:tc>
          <w:tcPr>
            <w:tcW w:w="1871" w:type="dxa"/>
          </w:tcPr>
          <w:p w:rsidR="00BC19D9" w:rsidRDefault="00BC19D9" w:rsidP="00A5694D"/>
        </w:tc>
        <w:tc>
          <w:tcPr>
            <w:tcW w:w="2741" w:type="dxa"/>
          </w:tcPr>
          <w:p w:rsidR="00BC19D9" w:rsidRPr="0087362C" w:rsidRDefault="00BC19D9" w:rsidP="0087362C">
            <w:pPr>
              <w:pStyle w:val="NoSpacing"/>
            </w:pPr>
          </w:p>
        </w:tc>
      </w:tr>
    </w:tbl>
    <w:p w:rsidR="00E02EF9" w:rsidRDefault="00E02EF9" w:rsidP="00E02EF9"/>
    <w:p w:rsidR="00CC4A9B" w:rsidRDefault="00CC4A9B"/>
    <w:sectPr w:rsidR="00CC4A9B" w:rsidSect="005628D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TT31c28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AE"/>
    <w:rsid w:val="001329E7"/>
    <w:rsid w:val="00274CE4"/>
    <w:rsid w:val="002C5F61"/>
    <w:rsid w:val="003247A7"/>
    <w:rsid w:val="003E63AE"/>
    <w:rsid w:val="0069628C"/>
    <w:rsid w:val="00734973"/>
    <w:rsid w:val="0087362C"/>
    <w:rsid w:val="00A51662"/>
    <w:rsid w:val="00AC686B"/>
    <w:rsid w:val="00B17E16"/>
    <w:rsid w:val="00B445A0"/>
    <w:rsid w:val="00BC19D9"/>
    <w:rsid w:val="00CC4A9B"/>
    <w:rsid w:val="00E02EF9"/>
    <w:rsid w:val="00E84320"/>
    <w:rsid w:val="00F1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E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2EF9"/>
    <w:pPr>
      <w:spacing w:line="240" w:lineRule="auto"/>
    </w:pPr>
  </w:style>
  <w:style w:type="paragraph" w:customStyle="1" w:styleId="Default">
    <w:name w:val="Default"/>
    <w:rsid w:val="00AC686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E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2EF9"/>
    <w:pPr>
      <w:spacing w:line="240" w:lineRule="auto"/>
    </w:pPr>
  </w:style>
  <w:style w:type="paragraph" w:customStyle="1" w:styleId="Default">
    <w:name w:val="Default"/>
    <w:rsid w:val="00AC686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</dc:creator>
  <cp:lastModifiedBy>Kin</cp:lastModifiedBy>
  <cp:revision>16</cp:revision>
  <dcterms:created xsi:type="dcterms:W3CDTF">2013-09-28T21:00:00Z</dcterms:created>
  <dcterms:modified xsi:type="dcterms:W3CDTF">2013-10-03T23:18:00Z</dcterms:modified>
</cp:coreProperties>
</file>