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51" w:type="dxa"/>
        <w:tblInd w:w="-1168" w:type="dxa"/>
        <w:tblLook w:val="04A0" w:firstRow="1" w:lastRow="0" w:firstColumn="1" w:lastColumn="0" w:noHBand="0" w:noVBand="1"/>
      </w:tblPr>
      <w:tblGrid>
        <w:gridCol w:w="1560"/>
        <w:gridCol w:w="2126"/>
        <w:gridCol w:w="2693"/>
        <w:gridCol w:w="2401"/>
        <w:gridCol w:w="2135"/>
        <w:gridCol w:w="1671"/>
        <w:gridCol w:w="2865"/>
      </w:tblGrid>
      <w:tr w:rsidR="00C5324A" w:rsidRPr="00421DB4" w:rsidTr="0064011B">
        <w:trPr>
          <w:trHeight w:val="292"/>
        </w:trPr>
        <w:tc>
          <w:tcPr>
            <w:tcW w:w="1560" w:type="dxa"/>
          </w:tcPr>
          <w:p w:rsidR="00C5324A" w:rsidRPr="00421DB4" w:rsidRDefault="00C5324A">
            <w:pPr>
              <w:rPr>
                <w:b/>
              </w:rPr>
            </w:pPr>
            <w:r w:rsidRPr="00421DB4">
              <w:rPr>
                <w:b/>
              </w:rPr>
              <w:t>Name Of Drug</w:t>
            </w:r>
          </w:p>
        </w:tc>
        <w:tc>
          <w:tcPr>
            <w:tcW w:w="2126" w:type="dxa"/>
          </w:tcPr>
          <w:p w:rsidR="00C5324A" w:rsidRPr="00421DB4" w:rsidRDefault="00C5324A">
            <w:pPr>
              <w:rPr>
                <w:b/>
              </w:rPr>
            </w:pPr>
            <w:r w:rsidRPr="00421DB4">
              <w:rPr>
                <w:b/>
              </w:rPr>
              <w:t>Mechanism of Action</w:t>
            </w:r>
          </w:p>
        </w:tc>
        <w:tc>
          <w:tcPr>
            <w:tcW w:w="2693" w:type="dxa"/>
          </w:tcPr>
          <w:p w:rsidR="00C5324A" w:rsidRPr="00421DB4" w:rsidRDefault="00C5324A">
            <w:pPr>
              <w:rPr>
                <w:b/>
              </w:rPr>
            </w:pPr>
            <w:r w:rsidRPr="00421DB4">
              <w:rPr>
                <w:b/>
              </w:rPr>
              <w:t>Parasite it affects (lifecycle)</w:t>
            </w:r>
          </w:p>
        </w:tc>
        <w:tc>
          <w:tcPr>
            <w:tcW w:w="2401" w:type="dxa"/>
          </w:tcPr>
          <w:p w:rsidR="00C5324A" w:rsidRPr="00421DB4" w:rsidRDefault="00C5324A">
            <w:pPr>
              <w:rPr>
                <w:b/>
              </w:rPr>
            </w:pPr>
            <w:r w:rsidRPr="00421DB4">
              <w:rPr>
                <w:b/>
              </w:rPr>
              <w:t xml:space="preserve">Dose </w:t>
            </w:r>
          </w:p>
        </w:tc>
        <w:tc>
          <w:tcPr>
            <w:tcW w:w="2135" w:type="dxa"/>
          </w:tcPr>
          <w:p w:rsidR="00C5324A" w:rsidRPr="00421DB4" w:rsidRDefault="00C5324A" w:rsidP="00615A42">
            <w:pPr>
              <w:pStyle w:val="NoSpacing"/>
              <w:rPr>
                <w:b/>
              </w:rPr>
            </w:pPr>
            <w:r w:rsidRPr="00421DB4">
              <w:rPr>
                <w:b/>
              </w:rPr>
              <w:t>Contraindications and Side effects</w:t>
            </w:r>
          </w:p>
        </w:tc>
        <w:tc>
          <w:tcPr>
            <w:tcW w:w="1671" w:type="dxa"/>
          </w:tcPr>
          <w:p w:rsidR="00C5324A" w:rsidRPr="00421DB4" w:rsidRDefault="00C5324A" w:rsidP="00615A42">
            <w:pPr>
              <w:pStyle w:val="NoSpacing"/>
              <w:rPr>
                <w:b/>
              </w:rPr>
            </w:pPr>
            <w:r w:rsidRPr="00421DB4">
              <w:rPr>
                <w:b/>
              </w:rPr>
              <w:t>Route of Administration</w:t>
            </w:r>
          </w:p>
        </w:tc>
        <w:tc>
          <w:tcPr>
            <w:tcW w:w="2865" w:type="dxa"/>
          </w:tcPr>
          <w:p w:rsidR="00C5324A" w:rsidRPr="00421DB4" w:rsidRDefault="00C5324A">
            <w:pPr>
              <w:rPr>
                <w:b/>
              </w:rPr>
            </w:pPr>
            <w:r w:rsidRPr="00421DB4">
              <w:rPr>
                <w:b/>
              </w:rPr>
              <w:t>Other Information</w:t>
            </w:r>
          </w:p>
        </w:tc>
      </w:tr>
      <w:tr w:rsidR="00FB00DF" w:rsidTr="0064011B">
        <w:trPr>
          <w:trHeight w:val="292"/>
        </w:trPr>
        <w:tc>
          <w:tcPr>
            <w:tcW w:w="1560" w:type="dxa"/>
          </w:tcPr>
          <w:p w:rsidR="00FB00DF" w:rsidRDefault="00FB00DF">
            <w:r>
              <w:t>Netobimin (Hapadex)</w:t>
            </w:r>
          </w:p>
        </w:tc>
        <w:tc>
          <w:tcPr>
            <w:tcW w:w="2126" w:type="dxa"/>
            <w:vMerge w:val="restart"/>
          </w:tcPr>
          <w:p w:rsidR="00FB00DF" w:rsidRDefault="00FB00DF">
            <w:r>
              <w:t>Netobimin and Febantel is converted in the GIT to Albendazole and Fenbendazole respectively, and their subsequent sulfone and sulfoxide metabolites</w:t>
            </w:r>
          </w:p>
        </w:tc>
        <w:tc>
          <w:tcPr>
            <w:tcW w:w="2693" w:type="dxa"/>
          </w:tcPr>
          <w:p w:rsidR="00FB00DF" w:rsidRDefault="00FB00DF">
            <w:r>
              <w:t>Horses: Nematocidal</w:t>
            </w:r>
            <w:r w:rsidR="0098636B">
              <w:t>, Ascarids including large Strongyles and Cyathostomes</w:t>
            </w:r>
          </w:p>
          <w:p w:rsidR="00FB00DF" w:rsidRDefault="00FB00DF"/>
          <w:p w:rsidR="0098636B" w:rsidRDefault="00FB00DF">
            <w:r>
              <w:t>Ruminants: Nematocidal,  Cestocidal and Fasciolicidal</w:t>
            </w:r>
          </w:p>
          <w:p w:rsidR="00FB00DF" w:rsidRDefault="0098636B">
            <w:r>
              <w:t xml:space="preserve">GI nematodes including larvae of Ostertagia ostertagi, lungworms and Fasciola hepatica </w:t>
            </w:r>
          </w:p>
        </w:tc>
        <w:tc>
          <w:tcPr>
            <w:tcW w:w="2401" w:type="dxa"/>
          </w:tcPr>
          <w:p w:rsidR="00FB00DF" w:rsidRDefault="00FB00DF"/>
        </w:tc>
        <w:tc>
          <w:tcPr>
            <w:tcW w:w="2135" w:type="dxa"/>
          </w:tcPr>
          <w:p w:rsidR="00FB00DF" w:rsidRDefault="00FB00DF"/>
        </w:tc>
        <w:tc>
          <w:tcPr>
            <w:tcW w:w="1671" w:type="dxa"/>
          </w:tcPr>
          <w:p w:rsidR="00FB00DF" w:rsidRDefault="00FB00DF"/>
        </w:tc>
        <w:tc>
          <w:tcPr>
            <w:tcW w:w="2865" w:type="dxa"/>
          </w:tcPr>
          <w:p w:rsidR="00FB00DF" w:rsidRDefault="00FB00DF"/>
        </w:tc>
      </w:tr>
      <w:tr w:rsidR="00FB00DF" w:rsidTr="0064011B">
        <w:trPr>
          <w:trHeight w:val="292"/>
        </w:trPr>
        <w:tc>
          <w:tcPr>
            <w:tcW w:w="1560" w:type="dxa"/>
          </w:tcPr>
          <w:p w:rsidR="00FB00DF" w:rsidRDefault="00FB00DF">
            <w:r>
              <w:t>Febantel (</w:t>
            </w:r>
            <w:proofErr w:type="spellStart"/>
            <w:r>
              <w:t>Rintel</w:t>
            </w:r>
            <w:proofErr w:type="spellEnd"/>
            <w:r>
              <w:t>)</w:t>
            </w:r>
          </w:p>
        </w:tc>
        <w:tc>
          <w:tcPr>
            <w:tcW w:w="2126" w:type="dxa"/>
            <w:vMerge/>
          </w:tcPr>
          <w:p w:rsidR="00FB00DF" w:rsidRDefault="00FB00DF"/>
        </w:tc>
        <w:tc>
          <w:tcPr>
            <w:tcW w:w="2693" w:type="dxa"/>
          </w:tcPr>
          <w:p w:rsidR="008636F6" w:rsidRDefault="00F20E23" w:rsidP="00F20E23">
            <w:pPr>
              <w:pStyle w:val="NoSpacing"/>
            </w:pPr>
            <w:r w:rsidRPr="00F20E23">
              <w:t>Febantel paste and oral (tube) suspension is indicated (labelled) for the treatment</w:t>
            </w:r>
            <w:r>
              <w:t xml:space="preserve"> </w:t>
            </w:r>
            <w:r w:rsidRPr="00F20E23">
              <w:t>of large and small strongyles (</w:t>
            </w:r>
            <w:proofErr w:type="spellStart"/>
            <w:r w:rsidRPr="00F20E23">
              <w:t>Strongulus</w:t>
            </w:r>
            <w:proofErr w:type="spellEnd"/>
            <w:r w:rsidRPr="00F20E23">
              <w:t xml:space="preserve"> vulgaris, S. </w:t>
            </w:r>
            <w:proofErr w:type="spellStart"/>
            <w:r w:rsidRPr="00F20E23">
              <w:t>edentatus</w:t>
            </w:r>
            <w:proofErr w:type="spellEnd"/>
            <w:r w:rsidRPr="00F20E23">
              <w:t xml:space="preserve">, S. </w:t>
            </w:r>
            <w:proofErr w:type="spellStart"/>
            <w:r w:rsidRPr="00F20E23">
              <w:t>equinus</w:t>
            </w:r>
            <w:proofErr w:type="spellEnd"/>
            <w:r w:rsidRPr="00F20E23">
              <w:t>), ascarids (</w:t>
            </w:r>
            <w:r>
              <w:t xml:space="preserve">P. </w:t>
            </w:r>
            <w:r w:rsidRPr="00F20E23">
              <w:t>equorum</w:t>
            </w:r>
            <w:r>
              <w:t xml:space="preserve"> </w:t>
            </w:r>
            <w:r w:rsidRPr="00F20E23">
              <w:t xml:space="preserve">adult and sexually immature forms), and pinworms (Oxyuris </w:t>
            </w:r>
            <w:proofErr w:type="spellStart"/>
            <w:r w:rsidRPr="00F20E23">
              <w:t>equi</w:t>
            </w:r>
            <w:r>
              <w:t>Ñadult</w:t>
            </w:r>
            <w:proofErr w:type="spellEnd"/>
            <w:r>
              <w:t xml:space="preserve"> and 4th stage </w:t>
            </w:r>
            <w:r w:rsidRPr="00F20E23">
              <w:t>larva) in horses.</w:t>
            </w:r>
          </w:p>
        </w:tc>
        <w:tc>
          <w:tcPr>
            <w:tcW w:w="2401" w:type="dxa"/>
          </w:tcPr>
          <w:p w:rsidR="00FB00DF" w:rsidRDefault="0064011B">
            <w:r>
              <w:t>Dogs:</w:t>
            </w:r>
          </w:p>
          <w:p w:rsidR="0064011B" w:rsidRDefault="0064011B" w:rsidP="0064011B">
            <w:pPr>
              <w:autoSpaceDE w:val="0"/>
              <w:autoSpaceDN w:val="0"/>
              <w:adjustRightInd w:val="0"/>
              <w:rPr>
                <w:rFonts w:ascii="MSTT31cc4a" w:hAnsi="MSTT31cc4a" w:cs="MSTT31cc4a"/>
                <w:sz w:val="19"/>
                <w:szCs w:val="19"/>
              </w:rPr>
            </w:pPr>
            <w:r>
              <w:rPr>
                <w:rFonts w:ascii="MSTT31cc4a" w:hAnsi="MSTT31cc4a" w:cs="MSTT31cc4a"/>
                <w:sz w:val="19"/>
                <w:szCs w:val="19"/>
              </w:rPr>
              <w:t>Older than 6 months of age: 10 mg/kg (febantel)/1 mg/kg (praziquantel) PO for 3 days</w:t>
            </w:r>
          </w:p>
          <w:p w:rsidR="0064011B" w:rsidRDefault="0064011B" w:rsidP="0064011B">
            <w:pPr>
              <w:rPr>
                <w:rFonts w:ascii="MSTT31cc4a" w:hAnsi="MSTT31cc4a" w:cs="MSTT31cc4a"/>
                <w:sz w:val="19"/>
                <w:szCs w:val="19"/>
              </w:rPr>
            </w:pPr>
            <w:r>
              <w:rPr>
                <w:rFonts w:ascii="MSTT31cc4a" w:hAnsi="MSTT31cc4a" w:cs="MSTT31cc4a"/>
                <w:sz w:val="19"/>
                <w:szCs w:val="19"/>
              </w:rPr>
              <w:t>Puppies: 15 mg/kg (febantel)/1.5 mg/kg (praziquantel) PO for 3 days.</w:t>
            </w:r>
          </w:p>
          <w:p w:rsidR="0064011B" w:rsidRDefault="0064011B" w:rsidP="0064011B">
            <w:pPr>
              <w:rPr>
                <w:rFonts w:ascii="MSTT31cc4a" w:hAnsi="MSTT31cc4a" w:cs="MSTT31cc4a"/>
                <w:sz w:val="19"/>
                <w:szCs w:val="19"/>
              </w:rPr>
            </w:pPr>
          </w:p>
          <w:p w:rsidR="0064011B" w:rsidRDefault="0064011B" w:rsidP="0064011B">
            <w:pPr>
              <w:rPr>
                <w:rFonts w:ascii="MSTT31cc4a" w:hAnsi="MSTT31cc4a" w:cs="MSTT31cc4a"/>
                <w:sz w:val="19"/>
                <w:szCs w:val="19"/>
              </w:rPr>
            </w:pPr>
            <w:r>
              <w:rPr>
                <w:rFonts w:ascii="MSTT31cc4a" w:hAnsi="MSTT31cc4a" w:cs="MSTT31cc4a"/>
                <w:sz w:val="19"/>
                <w:szCs w:val="19"/>
              </w:rPr>
              <w:t>Cats:</w:t>
            </w:r>
          </w:p>
          <w:p w:rsidR="0064011B" w:rsidRDefault="0064011B" w:rsidP="0064011B">
            <w:pPr>
              <w:autoSpaceDE w:val="0"/>
              <w:autoSpaceDN w:val="0"/>
              <w:adjustRightInd w:val="0"/>
              <w:rPr>
                <w:rFonts w:ascii="MSTT31cc4a" w:hAnsi="MSTT31cc4a" w:cs="MSTT31cc4a"/>
                <w:sz w:val="19"/>
                <w:szCs w:val="19"/>
              </w:rPr>
            </w:pPr>
            <w:r>
              <w:rPr>
                <w:rFonts w:ascii="MSTT31cc4a" w:hAnsi="MSTT31cc4a" w:cs="MSTT31cc4a"/>
                <w:sz w:val="19"/>
                <w:szCs w:val="19"/>
              </w:rPr>
              <w:t>Older than 6 months of age: 10 mg/kg (febantel)/1 mg/kg (praziquantel) PO for 3 days</w:t>
            </w:r>
          </w:p>
          <w:p w:rsidR="0064011B" w:rsidRDefault="0064011B" w:rsidP="0064011B">
            <w:pPr>
              <w:rPr>
                <w:rFonts w:ascii="MSTT31cc4a" w:hAnsi="MSTT31cc4a" w:cs="MSTT31cc4a"/>
                <w:sz w:val="19"/>
                <w:szCs w:val="19"/>
              </w:rPr>
            </w:pPr>
            <w:r>
              <w:rPr>
                <w:rFonts w:ascii="MSTT31cc4a" w:hAnsi="MSTT31cc4a" w:cs="MSTT31cc4a"/>
                <w:sz w:val="19"/>
                <w:szCs w:val="19"/>
              </w:rPr>
              <w:t>Kittens: 15 mg/kg (febantel)/1.5 mg/kg (praziquantel) PO for 3 days.</w:t>
            </w:r>
          </w:p>
          <w:p w:rsidR="0064011B" w:rsidRDefault="0064011B" w:rsidP="0064011B">
            <w:pPr>
              <w:rPr>
                <w:rFonts w:ascii="MSTT31cc4a" w:hAnsi="MSTT31cc4a" w:cs="MSTT31cc4a"/>
                <w:sz w:val="19"/>
                <w:szCs w:val="19"/>
              </w:rPr>
            </w:pPr>
          </w:p>
          <w:p w:rsidR="0064011B" w:rsidRDefault="0064011B" w:rsidP="0064011B">
            <w:pPr>
              <w:rPr>
                <w:rFonts w:ascii="MSTT31cc4a" w:hAnsi="MSTT31cc4a" w:cs="MSTT31cc4a"/>
                <w:sz w:val="19"/>
                <w:szCs w:val="19"/>
              </w:rPr>
            </w:pPr>
            <w:r>
              <w:rPr>
                <w:rFonts w:ascii="MSTT31cc4a" w:hAnsi="MSTT31cc4a" w:cs="MSTT31cc4a"/>
                <w:sz w:val="19"/>
                <w:szCs w:val="19"/>
              </w:rPr>
              <w:t>Ruminants:</w:t>
            </w:r>
          </w:p>
          <w:p w:rsidR="0064011B" w:rsidRDefault="0064011B" w:rsidP="0064011B">
            <w:pPr>
              <w:autoSpaceDE w:val="0"/>
              <w:autoSpaceDN w:val="0"/>
              <w:adjustRightInd w:val="0"/>
              <w:rPr>
                <w:rFonts w:ascii="MSTT31cc4a" w:hAnsi="MSTT31cc4a" w:cs="MSTT31cc4a"/>
                <w:sz w:val="19"/>
                <w:szCs w:val="19"/>
              </w:rPr>
            </w:pPr>
            <w:r>
              <w:rPr>
                <w:rFonts w:ascii="MSTT31cc4a" w:hAnsi="MSTT31cc4a" w:cs="MSTT31cc4a"/>
                <w:sz w:val="19"/>
                <w:szCs w:val="19"/>
              </w:rPr>
              <w:t xml:space="preserve">Older than 6 months of age: 10 mg/kg (febantel)/1 mg/kg </w:t>
            </w:r>
            <w:r>
              <w:rPr>
                <w:rFonts w:ascii="MSTT31cc4a" w:hAnsi="MSTT31cc4a" w:cs="MSTT31cc4a"/>
                <w:sz w:val="19"/>
                <w:szCs w:val="19"/>
              </w:rPr>
              <w:lastRenderedPageBreak/>
              <w:t>(praziquantel) PO for 3 days</w:t>
            </w:r>
          </w:p>
          <w:p w:rsidR="0064011B" w:rsidRDefault="0064011B" w:rsidP="0064011B">
            <w:pPr>
              <w:rPr>
                <w:rFonts w:ascii="MSTT31cc4a" w:hAnsi="MSTT31cc4a" w:cs="MSTT31cc4a"/>
                <w:sz w:val="19"/>
                <w:szCs w:val="19"/>
              </w:rPr>
            </w:pPr>
            <w:r>
              <w:rPr>
                <w:rFonts w:ascii="MSTT31cc4a" w:hAnsi="MSTT31cc4a" w:cs="MSTT31cc4a"/>
                <w:sz w:val="19"/>
                <w:szCs w:val="19"/>
              </w:rPr>
              <w:t>Kittens: 15 mg/kg (febantel)/1.5 mg/kg (praziquantel) PO for 3 days.</w:t>
            </w:r>
          </w:p>
          <w:p w:rsidR="0064011B" w:rsidRDefault="0064011B" w:rsidP="0064011B">
            <w:pPr>
              <w:rPr>
                <w:rFonts w:ascii="MSTT31cc4a" w:hAnsi="MSTT31cc4a" w:cs="MSTT31cc4a"/>
                <w:sz w:val="19"/>
                <w:szCs w:val="19"/>
              </w:rPr>
            </w:pPr>
          </w:p>
          <w:p w:rsidR="0064011B" w:rsidRDefault="0064011B" w:rsidP="0064011B">
            <w:pPr>
              <w:rPr>
                <w:rFonts w:ascii="MSTT31cc4a" w:hAnsi="MSTT31cc4a" w:cs="MSTT31cc4a"/>
                <w:sz w:val="19"/>
                <w:szCs w:val="19"/>
              </w:rPr>
            </w:pPr>
            <w:r>
              <w:rPr>
                <w:rFonts w:ascii="MSTT31cc4a" w:hAnsi="MSTT31cc4a" w:cs="MSTT31cc4a"/>
                <w:sz w:val="19"/>
                <w:szCs w:val="19"/>
              </w:rPr>
              <w:t>Horses:</w:t>
            </w:r>
          </w:p>
          <w:p w:rsidR="0064011B" w:rsidRDefault="0064011B" w:rsidP="0064011B">
            <w:r>
              <w:rPr>
                <w:rFonts w:ascii="MSTT31cc4a" w:hAnsi="MSTT31cc4a" w:cs="MSTT31cc4a"/>
                <w:sz w:val="19"/>
                <w:szCs w:val="19"/>
              </w:rPr>
              <w:t>6 mg/kg PO or tube; retreat in 6-8 weeks if reinfection is likely to occur.</w:t>
            </w:r>
            <w:bookmarkStart w:id="0" w:name="_GoBack"/>
            <w:bookmarkEnd w:id="0"/>
          </w:p>
        </w:tc>
        <w:tc>
          <w:tcPr>
            <w:tcW w:w="2135" w:type="dxa"/>
          </w:tcPr>
          <w:p w:rsidR="00FB00DF" w:rsidRPr="00306788" w:rsidRDefault="00306788" w:rsidP="00306788">
            <w:pPr>
              <w:pStyle w:val="NoSpacing"/>
            </w:pPr>
            <w:r w:rsidRPr="00306788">
              <w:lastRenderedPageBreak/>
              <w:t>When used alone in ho</w:t>
            </w:r>
            <w:r>
              <w:t xml:space="preserve">rses, the manufacturer lists no </w:t>
            </w:r>
            <w:r w:rsidRPr="00306788">
              <w:t>contraindications</w:t>
            </w:r>
            <w:r>
              <w:t xml:space="preserve"> </w:t>
            </w:r>
            <w:r w:rsidRPr="00306788">
              <w:t xml:space="preserve">to the use of the drug. It is considered to be safe in </w:t>
            </w:r>
            <w:r>
              <w:t xml:space="preserve">breeding stallions and pregnant </w:t>
            </w:r>
            <w:r w:rsidRPr="00306788">
              <w:t>mares.</w:t>
            </w:r>
          </w:p>
        </w:tc>
        <w:tc>
          <w:tcPr>
            <w:tcW w:w="1671" w:type="dxa"/>
          </w:tcPr>
          <w:p w:rsidR="00FB00DF" w:rsidRDefault="0064011B">
            <w:r>
              <w:t>Oral</w:t>
            </w:r>
          </w:p>
        </w:tc>
        <w:tc>
          <w:tcPr>
            <w:tcW w:w="2865" w:type="dxa"/>
          </w:tcPr>
          <w:p w:rsidR="00FB00DF" w:rsidRDefault="008636F6">
            <w:r>
              <w:t xml:space="preserve">Wide margin of safety </w:t>
            </w:r>
          </w:p>
        </w:tc>
      </w:tr>
    </w:tbl>
    <w:p w:rsidR="00CC4A9B" w:rsidRDefault="00CC4A9B"/>
    <w:sectPr w:rsidR="00CC4A9B" w:rsidSect="009B302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TT31cc4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44"/>
    <w:rsid w:val="000A0B44"/>
    <w:rsid w:val="00140C62"/>
    <w:rsid w:val="001A6841"/>
    <w:rsid w:val="00306788"/>
    <w:rsid w:val="00421DB4"/>
    <w:rsid w:val="00533191"/>
    <w:rsid w:val="0064011B"/>
    <w:rsid w:val="00855123"/>
    <w:rsid w:val="008636F6"/>
    <w:rsid w:val="0098636B"/>
    <w:rsid w:val="009B302A"/>
    <w:rsid w:val="00C5324A"/>
    <w:rsid w:val="00CC4A9B"/>
    <w:rsid w:val="00EA5289"/>
    <w:rsid w:val="00F20E23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0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324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0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324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16</cp:revision>
  <dcterms:created xsi:type="dcterms:W3CDTF">2013-09-28T20:47:00Z</dcterms:created>
  <dcterms:modified xsi:type="dcterms:W3CDTF">2013-10-03T15:44:00Z</dcterms:modified>
</cp:coreProperties>
</file>