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4B56" w:rsidRPr="00E76612" w:rsidRDefault="00E76612" w:rsidP="00B54B56">
      <w:pPr>
        <w:pStyle w:val="EndNoteBibliography"/>
        <w:spacing w:after="360"/>
        <w:ind w:left="340" w:hanging="340"/>
        <w:jc w:val="both"/>
        <w:rPr>
          <w:rFonts w:ascii="Arial Narrow" w:hAnsi="Arial Narrow"/>
        </w:rPr>
      </w:pPr>
      <w:r w:rsidRPr="00E76612">
        <w:rPr>
          <w:rFonts w:ascii="Arial Narrow" w:hAnsi="Arial Narrow" w:cs="Segoe UI"/>
        </w:rPr>
        <w:t xml:space="preserve">Iwarsson, S., Stahl, A., &amp; Löfqvist, C. (2013). Mobility outdoor environments in old age. Dans G. D. Rowles &amp; M. Bernard (Eds.), </w:t>
      </w:r>
      <w:r w:rsidRPr="00E76612">
        <w:rPr>
          <w:rFonts w:ascii="Arial Narrow" w:hAnsi="Arial Narrow" w:cs="Segoe UI"/>
          <w:i/>
          <w:iCs/>
        </w:rPr>
        <w:t>Environmental gerontology: Making meaninfgul places in old age</w:t>
      </w:r>
      <w:r w:rsidRPr="00E76612">
        <w:rPr>
          <w:rFonts w:ascii="Arial Narrow" w:hAnsi="Arial Narrow" w:cs="Segoe UI"/>
        </w:rPr>
        <w:t xml:space="preserve"> (pp. 175-197). New York: Springer Publishing Company.</w:t>
      </w:r>
    </w:p>
    <w:tbl>
      <w:tblPr>
        <w:tblStyle w:val="Grilledutableau"/>
        <w:tblW w:w="10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8930"/>
      </w:tblGrid>
      <w:tr w:rsidR="0074439E" w:rsidTr="00674F2E">
        <w:tc>
          <w:tcPr>
            <w:tcW w:w="10490" w:type="dxa"/>
            <w:gridSpan w:val="2"/>
            <w:shd w:val="clear" w:color="auto" w:fill="BFBFBF" w:themeFill="background1" w:themeFillShade="BF"/>
          </w:tcPr>
          <w:p w:rsidR="0074439E" w:rsidRPr="0074439E" w:rsidRDefault="0074439E" w:rsidP="005573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jc w:val="both"/>
              <w:rPr>
                <w:rFonts w:ascii="Arial Narrow" w:hAnsi="Arial Narrow" w:cs="Helvetica"/>
                <w:b/>
                <w:sz w:val="22"/>
              </w:rPr>
            </w:pPr>
            <w:r w:rsidRPr="0074439E">
              <w:rPr>
                <w:rFonts w:ascii="Arial Narrow" w:hAnsi="Arial Narrow" w:cs="Helvetica"/>
                <w:b/>
                <w:sz w:val="22"/>
              </w:rPr>
              <w:t>Contexte de l’ouvrage et de la recherche</w:t>
            </w:r>
          </w:p>
        </w:tc>
      </w:tr>
      <w:tr w:rsidR="00476ACD" w:rsidTr="000777FA">
        <w:tc>
          <w:tcPr>
            <w:tcW w:w="1560" w:type="dxa"/>
          </w:tcPr>
          <w:p w:rsidR="00476ACD" w:rsidRPr="0074439E" w:rsidRDefault="00476ACD" w:rsidP="005573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Arial Narrow" w:hAnsi="Arial Narrow" w:cs="Helvetica"/>
                <w:bCs/>
                <w:i/>
                <w:sz w:val="28"/>
              </w:rPr>
            </w:pPr>
            <w:r w:rsidRPr="0074439E">
              <w:rPr>
                <w:rFonts w:ascii="Arial Narrow" w:hAnsi="Arial Narrow" w:cs="Helvetica"/>
                <w:bCs/>
                <w:i/>
                <w:sz w:val="22"/>
              </w:rPr>
              <w:t>Année</w:t>
            </w:r>
            <w:r w:rsidR="00557306" w:rsidRPr="0074439E">
              <w:rPr>
                <w:rFonts w:ascii="Arial Narrow" w:hAnsi="Arial Narrow" w:cs="Helvetica"/>
                <w:bCs/>
                <w:i/>
                <w:sz w:val="22"/>
              </w:rPr>
              <w:t> :</w:t>
            </w:r>
          </w:p>
        </w:tc>
        <w:tc>
          <w:tcPr>
            <w:tcW w:w="8930" w:type="dxa"/>
          </w:tcPr>
          <w:p w:rsidR="00476ACD" w:rsidRPr="00674F2E" w:rsidRDefault="00E76612" w:rsidP="005573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jc w:val="both"/>
              <w:rPr>
                <w:rFonts w:ascii="Arial Narrow" w:hAnsi="Arial Narrow" w:cs="Helvetica"/>
                <w:bCs/>
                <w:sz w:val="22"/>
                <w:szCs w:val="22"/>
              </w:rPr>
            </w:pPr>
            <w:r>
              <w:rPr>
                <w:rFonts w:ascii="Arial Narrow" w:hAnsi="Arial Narrow" w:cs="Helvetica"/>
                <w:bCs/>
                <w:sz w:val="22"/>
                <w:szCs w:val="22"/>
              </w:rPr>
              <w:t>2013</w:t>
            </w:r>
          </w:p>
        </w:tc>
      </w:tr>
      <w:tr w:rsidR="00476ACD" w:rsidRPr="003A3469" w:rsidTr="000777FA">
        <w:tc>
          <w:tcPr>
            <w:tcW w:w="1560" w:type="dxa"/>
          </w:tcPr>
          <w:p w:rsidR="00476ACD" w:rsidRPr="0074439E" w:rsidRDefault="00476ACD" w:rsidP="005573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Arial Narrow" w:hAnsi="Arial Narrow" w:cs="Helvetica"/>
                <w:bCs/>
                <w:i/>
                <w:sz w:val="28"/>
              </w:rPr>
            </w:pPr>
            <w:r w:rsidRPr="0074439E">
              <w:rPr>
                <w:rFonts w:ascii="Arial Narrow" w:hAnsi="Arial Narrow" w:cs="Helvetica"/>
                <w:bCs/>
                <w:i/>
                <w:sz w:val="22"/>
              </w:rPr>
              <w:t>Auteurs</w:t>
            </w:r>
            <w:r w:rsidR="00557306" w:rsidRPr="0074439E">
              <w:rPr>
                <w:rFonts w:ascii="Arial Narrow" w:hAnsi="Arial Narrow" w:cs="Helvetica"/>
                <w:bCs/>
                <w:i/>
                <w:sz w:val="22"/>
              </w:rPr>
              <w:t> :</w:t>
            </w:r>
          </w:p>
        </w:tc>
        <w:tc>
          <w:tcPr>
            <w:tcW w:w="8930" w:type="dxa"/>
          </w:tcPr>
          <w:p w:rsidR="002E2F98" w:rsidRPr="006A56D0" w:rsidRDefault="003A3469" w:rsidP="003A346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jc w:val="both"/>
              <w:rPr>
                <w:rFonts w:ascii="Arial Narrow" w:hAnsi="Arial Narrow" w:cs="Helvetica"/>
                <w:sz w:val="22"/>
                <w:szCs w:val="22"/>
                <w:lang w:val="en-CA"/>
              </w:rPr>
            </w:pPr>
            <w:proofErr w:type="spellStart"/>
            <w:r w:rsidRPr="006A56D0">
              <w:rPr>
                <w:rFonts w:ascii="Arial Narrow" w:hAnsi="Arial Narrow" w:cs="Helvetica"/>
                <w:bCs/>
                <w:sz w:val="22"/>
                <w:szCs w:val="22"/>
              </w:rPr>
              <w:t>Iwarsson</w:t>
            </w:r>
            <w:proofErr w:type="spellEnd"/>
            <w:r w:rsidRPr="006A56D0">
              <w:rPr>
                <w:rFonts w:ascii="Arial Narrow" w:hAnsi="Arial Narrow" w:cs="Helvetica"/>
                <w:bCs/>
                <w:sz w:val="22"/>
                <w:szCs w:val="22"/>
              </w:rPr>
              <w:t xml:space="preserve"> &amp; </w:t>
            </w:r>
            <w:proofErr w:type="spellStart"/>
            <w:r w:rsidRPr="006A56D0">
              <w:rPr>
                <w:rFonts w:ascii="Arial Narrow" w:hAnsi="Arial Narrow" w:cs="Helvetica"/>
                <w:bCs/>
                <w:sz w:val="22"/>
                <w:szCs w:val="22"/>
              </w:rPr>
              <w:t>Löfqvist</w:t>
            </w:r>
            <w:proofErr w:type="spellEnd"/>
            <w:r w:rsidRPr="006A56D0">
              <w:rPr>
                <w:rFonts w:ascii="Arial Narrow" w:hAnsi="Arial Narrow" w:cs="Helvetica"/>
                <w:bCs/>
                <w:sz w:val="22"/>
                <w:szCs w:val="22"/>
              </w:rPr>
              <w:t xml:space="preserve"> : </w:t>
            </w:r>
            <w:r w:rsidR="006A56D0" w:rsidRPr="006A56D0">
              <w:rPr>
                <w:rFonts w:ascii="Arial Narrow" w:hAnsi="Arial Narrow" w:cs="Helvetica"/>
                <w:bCs/>
                <w:sz w:val="22"/>
                <w:szCs w:val="22"/>
              </w:rPr>
              <w:t xml:space="preserve">Science de la santé. </w:t>
            </w:r>
            <w:proofErr w:type="spellStart"/>
            <w:r w:rsidRPr="00997685">
              <w:rPr>
                <w:rFonts w:ascii="Arial Narrow" w:hAnsi="Arial Narrow" w:cs="Helvetica"/>
                <w:sz w:val="22"/>
                <w:szCs w:val="22"/>
                <w:lang w:val="en-CA"/>
              </w:rPr>
              <w:t>Faculté</w:t>
            </w:r>
            <w:proofErr w:type="spellEnd"/>
            <w:r w:rsidRPr="00997685">
              <w:rPr>
                <w:rFonts w:ascii="Arial Narrow" w:hAnsi="Arial Narrow" w:cs="Helvetica"/>
                <w:sz w:val="22"/>
                <w:szCs w:val="22"/>
                <w:lang w:val="en-CA"/>
              </w:rPr>
              <w:t xml:space="preserve"> de </w:t>
            </w:r>
            <w:proofErr w:type="spellStart"/>
            <w:r w:rsidRPr="00997685">
              <w:rPr>
                <w:rFonts w:ascii="Arial Narrow" w:hAnsi="Arial Narrow" w:cs="Helvetica"/>
                <w:sz w:val="22"/>
                <w:szCs w:val="22"/>
                <w:lang w:val="en-CA"/>
              </w:rPr>
              <w:t>médecine</w:t>
            </w:r>
            <w:proofErr w:type="spellEnd"/>
            <w:r w:rsidRPr="00997685">
              <w:rPr>
                <w:rFonts w:ascii="Arial Narrow" w:hAnsi="Arial Narrow" w:cs="Helvetica"/>
                <w:sz w:val="22"/>
                <w:szCs w:val="22"/>
                <w:lang w:val="en-CA"/>
              </w:rPr>
              <w:t xml:space="preserve">: Active and Healthy Ageing Research Group. </w:t>
            </w:r>
            <w:r w:rsidRPr="006A56D0">
              <w:rPr>
                <w:rFonts w:ascii="Arial Narrow" w:hAnsi="Arial Narrow" w:cs="Helvetica"/>
                <w:sz w:val="22"/>
                <w:szCs w:val="22"/>
                <w:lang w:val="en-CA"/>
              </w:rPr>
              <w:t>Lund University</w:t>
            </w:r>
          </w:p>
          <w:p w:rsidR="003A3469" w:rsidRPr="003A3469" w:rsidRDefault="003A3469" w:rsidP="006A56D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jc w:val="both"/>
              <w:rPr>
                <w:rFonts w:ascii="Arial Narrow" w:hAnsi="Arial Narrow" w:cs="Helvetica"/>
                <w:bCs/>
                <w:sz w:val="22"/>
                <w:szCs w:val="22"/>
              </w:rPr>
            </w:pPr>
            <w:r w:rsidRPr="003A3469">
              <w:rPr>
                <w:rFonts w:ascii="Arial Narrow" w:hAnsi="Arial Narrow" w:cs="Helvetica"/>
                <w:sz w:val="22"/>
                <w:szCs w:val="22"/>
              </w:rPr>
              <w:t xml:space="preserve">Stahl : </w:t>
            </w:r>
            <w:r w:rsidR="006A56D0">
              <w:rPr>
                <w:rFonts w:ascii="Arial Narrow" w:hAnsi="Arial Narrow" w:cs="Helvetica"/>
                <w:sz w:val="22"/>
                <w:szCs w:val="22"/>
              </w:rPr>
              <w:t>Ingénieur</w:t>
            </w:r>
            <w:r w:rsidRPr="003A3469">
              <w:rPr>
                <w:rFonts w:ascii="Arial Narrow" w:hAnsi="Arial Narrow" w:cs="Helvetica"/>
                <w:sz w:val="22"/>
                <w:szCs w:val="22"/>
              </w:rPr>
              <w:t xml:space="preserve"> : Centre of </w:t>
            </w:r>
            <w:proofErr w:type="spellStart"/>
            <w:r w:rsidRPr="003A3469">
              <w:rPr>
                <w:rFonts w:ascii="Arial Narrow" w:hAnsi="Arial Narrow" w:cs="Helvetica"/>
                <w:sz w:val="22"/>
                <w:szCs w:val="22"/>
              </w:rPr>
              <w:t>Aging</w:t>
            </w:r>
            <w:proofErr w:type="spellEnd"/>
            <w:r w:rsidRPr="003A3469">
              <w:rPr>
                <w:rFonts w:ascii="Arial Narrow" w:hAnsi="Arial Narrow" w:cs="Helvetica"/>
                <w:sz w:val="22"/>
                <w:szCs w:val="22"/>
              </w:rPr>
              <w:t xml:space="preserve"> </w:t>
            </w:r>
            <w:proofErr w:type="spellStart"/>
            <w:r w:rsidRPr="003A3469">
              <w:rPr>
                <w:rFonts w:ascii="Arial Narrow" w:hAnsi="Arial Narrow" w:cs="Helvetica"/>
                <w:sz w:val="22"/>
                <w:szCs w:val="22"/>
              </w:rPr>
              <w:t>Supportive</w:t>
            </w:r>
            <w:proofErr w:type="spellEnd"/>
            <w:r w:rsidRPr="003A3469">
              <w:rPr>
                <w:rFonts w:ascii="Arial Narrow" w:hAnsi="Arial Narrow" w:cs="Helvetica"/>
                <w:sz w:val="22"/>
                <w:szCs w:val="22"/>
              </w:rPr>
              <w:t xml:space="preserve"> </w:t>
            </w:r>
            <w:proofErr w:type="spellStart"/>
            <w:r w:rsidRPr="003A3469">
              <w:rPr>
                <w:rFonts w:ascii="Arial Narrow" w:hAnsi="Arial Narrow" w:cs="Helvetica"/>
                <w:sz w:val="22"/>
                <w:szCs w:val="22"/>
              </w:rPr>
              <w:t>Environments</w:t>
            </w:r>
            <w:proofErr w:type="spellEnd"/>
            <w:r w:rsidRPr="003A3469">
              <w:rPr>
                <w:rFonts w:ascii="Arial Narrow" w:hAnsi="Arial Narrow" w:cs="Helvetica"/>
                <w:sz w:val="22"/>
                <w:szCs w:val="22"/>
              </w:rPr>
              <w:t xml:space="preserve">. </w:t>
            </w:r>
            <w:r>
              <w:rPr>
                <w:rFonts w:ascii="Arial Narrow" w:hAnsi="Arial Narrow" w:cs="Helvetica"/>
                <w:sz w:val="22"/>
                <w:szCs w:val="22"/>
              </w:rPr>
              <w:t xml:space="preserve">Lund </w:t>
            </w:r>
            <w:proofErr w:type="spellStart"/>
            <w:r>
              <w:rPr>
                <w:rFonts w:ascii="Arial Narrow" w:hAnsi="Arial Narrow" w:cs="Helvetica"/>
                <w:sz w:val="22"/>
                <w:szCs w:val="22"/>
              </w:rPr>
              <w:t>University</w:t>
            </w:r>
            <w:proofErr w:type="spellEnd"/>
          </w:p>
        </w:tc>
      </w:tr>
      <w:tr w:rsidR="00476ACD" w:rsidTr="000777FA">
        <w:tc>
          <w:tcPr>
            <w:tcW w:w="1560" w:type="dxa"/>
          </w:tcPr>
          <w:p w:rsidR="00476ACD" w:rsidRPr="0074439E" w:rsidRDefault="00476ACD" w:rsidP="005573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Arial Narrow" w:hAnsi="Arial Narrow" w:cs="Helvetica"/>
                <w:bCs/>
                <w:i/>
                <w:sz w:val="28"/>
              </w:rPr>
            </w:pPr>
            <w:r w:rsidRPr="0074439E">
              <w:rPr>
                <w:rFonts w:ascii="Arial Narrow" w:hAnsi="Arial Narrow" w:cs="Helvetica"/>
                <w:bCs/>
                <w:i/>
                <w:sz w:val="22"/>
              </w:rPr>
              <w:t>Pays</w:t>
            </w:r>
            <w:r w:rsidR="00557306" w:rsidRPr="0074439E">
              <w:rPr>
                <w:rFonts w:ascii="Arial Narrow" w:hAnsi="Arial Narrow" w:cs="Helvetica"/>
                <w:bCs/>
                <w:i/>
                <w:sz w:val="22"/>
              </w:rPr>
              <w:t> :</w:t>
            </w:r>
          </w:p>
        </w:tc>
        <w:tc>
          <w:tcPr>
            <w:tcW w:w="8930" w:type="dxa"/>
          </w:tcPr>
          <w:p w:rsidR="00476ACD" w:rsidRPr="00674F2E" w:rsidRDefault="00D922AD" w:rsidP="005573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jc w:val="both"/>
              <w:rPr>
                <w:rFonts w:ascii="Arial Narrow" w:hAnsi="Arial Narrow" w:cs="Helvetica"/>
                <w:bCs/>
                <w:sz w:val="22"/>
                <w:szCs w:val="22"/>
              </w:rPr>
            </w:pPr>
            <w:r>
              <w:rPr>
                <w:rFonts w:ascii="Arial Narrow" w:hAnsi="Arial Narrow" w:cs="Helvetica"/>
                <w:bCs/>
                <w:sz w:val="22"/>
                <w:szCs w:val="22"/>
              </w:rPr>
              <w:t>Suède</w:t>
            </w:r>
          </w:p>
        </w:tc>
      </w:tr>
      <w:tr w:rsidR="00476ACD" w:rsidTr="000777FA">
        <w:tc>
          <w:tcPr>
            <w:tcW w:w="1560" w:type="dxa"/>
          </w:tcPr>
          <w:p w:rsidR="00476ACD" w:rsidRPr="0074439E" w:rsidRDefault="00476ACD" w:rsidP="005573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Arial Narrow" w:hAnsi="Arial Narrow" w:cs="Helvetica"/>
                <w:bCs/>
                <w:i/>
                <w:sz w:val="28"/>
              </w:rPr>
            </w:pPr>
            <w:r w:rsidRPr="0074439E">
              <w:rPr>
                <w:rFonts w:ascii="Arial Narrow" w:hAnsi="Arial Narrow" w:cs="Helvetica"/>
                <w:i/>
                <w:sz w:val="22"/>
              </w:rPr>
              <w:t>Public visé</w:t>
            </w:r>
            <w:r w:rsidR="00557306" w:rsidRPr="0074439E">
              <w:rPr>
                <w:rFonts w:ascii="Arial Narrow" w:hAnsi="Arial Narrow" w:cs="Helvetica"/>
                <w:i/>
                <w:sz w:val="22"/>
              </w:rPr>
              <w:t> :</w:t>
            </w:r>
          </w:p>
        </w:tc>
        <w:tc>
          <w:tcPr>
            <w:tcW w:w="8930" w:type="dxa"/>
          </w:tcPr>
          <w:p w:rsidR="00476ACD" w:rsidRPr="00674F2E" w:rsidRDefault="006A56D0" w:rsidP="005573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jc w:val="both"/>
              <w:rPr>
                <w:rFonts w:ascii="Arial Narrow" w:hAnsi="Arial Narrow" w:cs="Helvetica"/>
                <w:bCs/>
                <w:sz w:val="22"/>
                <w:szCs w:val="22"/>
              </w:rPr>
            </w:pPr>
            <w:r>
              <w:rPr>
                <w:rFonts w:ascii="Arial Narrow" w:hAnsi="Arial Narrow" w:cs="Helvetica"/>
                <w:bCs/>
                <w:sz w:val="22"/>
                <w:szCs w:val="22"/>
              </w:rPr>
              <w:t>Chercheurs</w:t>
            </w:r>
          </w:p>
        </w:tc>
      </w:tr>
      <w:tr w:rsidR="0074439E" w:rsidTr="000777FA">
        <w:tc>
          <w:tcPr>
            <w:tcW w:w="1560" w:type="dxa"/>
          </w:tcPr>
          <w:p w:rsidR="0074439E" w:rsidRPr="0074439E" w:rsidRDefault="0074439E" w:rsidP="00317DB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Arial Narrow" w:hAnsi="Arial Narrow" w:cs="Helvetica"/>
                <w:bCs/>
                <w:i/>
                <w:sz w:val="28"/>
              </w:rPr>
            </w:pPr>
            <w:r w:rsidRPr="0074439E">
              <w:rPr>
                <w:rFonts w:ascii="Arial Narrow" w:hAnsi="Arial Narrow" w:cs="Helvetica"/>
                <w:i/>
                <w:sz w:val="22"/>
                <w:lang w:val="fr-FR"/>
              </w:rPr>
              <w:t>Échantillon :</w:t>
            </w:r>
          </w:p>
        </w:tc>
        <w:tc>
          <w:tcPr>
            <w:tcW w:w="8930" w:type="dxa"/>
          </w:tcPr>
          <w:p w:rsidR="005D0141" w:rsidRPr="005D0141" w:rsidRDefault="00997685" w:rsidP="005D014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jc w:val="both"/>
              <w:rPr>
                <w:rFonts w:ascii="Arial Narrow" w:hAnsi="Arial Narrow" w:cs="Helvetica"/>
                <w:bCs/>
                <w:sz w:val="22"/>
                <w:szCs w:val="22"/>
              </w:rPr>
            </w:pPr>
            <w:r>
              <w:rPr>
                <w:rFonts w:ascii="Arial Narrow" w:hAnsi="Arial Narrow" w:cs="Helvetica"/>
                <w:bCs/>
                <w:sz w:val="22"/>
                <w:szCs w:val="22"/>
              </w:rPr>
              <w:t>NA</w:t>
            </w:r>
          </w:p>
        </w:tc>
      </w:tr>
      <w:tr w:rsidR="0074439E" w:rsidTr="000777FA">
        <w:tc>
          <w:tcPr>
            <w:tcW w:w="1560" w:type="dxa"/>
          </w:tcPr>
          <w:p w:rsidR="0074439E" w:rsidRPr="0074439E" w:rsidRDefault="0074439E" w:rsidP="00317DB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Arial Narrow" w:hAnsi="Arial Narrow" w:cs="Helvetica"/>
                <w:bCs/>
                <w:i/>
                <w:sz w:val="28"/>
              </w:rPr>
            </w:pPr>
            <w:r w:rsidRPr="0074439E">
              <w:rPr>
                <w:rFonts w:ascii="Arial Narrow" w:hAnsi="Arial Narrow" w:cs="Helvetica"/>
                <w:bCs/>
                <w:i/>
                <w:sz w:val="22"/>
                <w:lang w:val="fr-FR"/>
              </w:rPr>
              <w:t>Méthodologie :</w:t>
            </w:r>
          </w:p>
        </w:tc>
        <w:tc>
          <w:tcPr>
            <w:tcW w:w="8930" w:type="dxa"/>
          </w:tcPr>
          <w:p w:rsidR="005D0141" w:rsidRPr="00674F2E" w:rsidRDefault="00D922AD" w:rsidP="00D922A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jc w:val="both"/>
              <w:rPr>
                <w:rFonts w:ascii="Arial Narrow" w:hAnsi="Arial Narrow" w:cs="Helvetica"/>
                <w:bCs/>
                <w:sz w:val="22"/>
                <w:szCs w:val="22"/>
              </w:rPr>
            </w:pPr>
            <w:r>
              <w:rPr>
                <w:rFonts w:ascii="Arial Narrow" w:hAnsi="Arial Narrow" w:cs="Helvetica"/>
                <w:sz w:val="22"/>
                <w:szCs w:val="22"/>
                <w:lang w:val="fr-FR"/>
              </w:rPr>
              <w:t>Approches quantitatives, qualitatives et méthode mix</w:t>
            </w:r>
            <w:r w:rsidR="0024341F">
              <w:rPr>
                <w:rFonts w:ascii="Arial Narrow" w:hAnsi="Arial Narrow" w:cs="Helvetica"/>
                <w:sz w:val="22"/>
                <w:szCs w:val="22"/>
                <w:lang w:val="fr-FR"/>
              </w:rPr>
              <w:t>t</w:t>
            </w:r>
            <w:r>
              <w:rPr>
                <w:rFonts w:ascii="Arial Narrow" w:hAnsi="Arial Narrow" w:cs="Helvetica"/>
                <w:sz w:val="22"/>
                <w:szCs w:val="22"/>
                <w:lang w:val="fr-FR"/>
              </w:rPr>
              <w:t xml:space="preserve">e. </w:t>
            </w:r>
            <w:r w:rsidRPr="00083F89">
              <w:rPr>
                <w:rFonts w:ascii="Arial Narrow" w:hAnsi="Arial Narrow" w:cs="Helvetica"/>
                <w:sz w:val="22"/>
                <w:szCs w:val="22"/>
                <w:lang w:val="fr-FR"/>
              </w:rPr>
              <w:t xml:space="preserve">Synthèse de plusieurs recherches empiriques d’importance à travers l’Europe (1) </w:t>
            </w:r>
            <w:proofErr w:type="spellStart"/>
            <w:r w:rsidRPr="00083F89">
              <w:rPr>
                <w:rFonts w:ascii="Arial Narrow" w:hAnsi="Arial Narrow" w:cs="Helvetica"/>
                <w:sz w:val="22"/>
                <w:szCs w:val="22"/>
                <w:lang w:val="fr-FR"/>
              </w:rPr>
              <w:t>Enable</w:t>
            </w:r>
            <w:proofErr w:type="spellEnd"/>
            <w:r w:rsidRPr="00083F89">
              <w:rPr>
                <w:rFonts w:ascii="Arial Narrow" w:hAnsi="Arial Narrow" w:cs="Helvetica"/>
                <w:sz w:val="22"/>
                <w:szCs w:val="22"/>
                <w:lang w:val="fr-FR"/>
              </w:rPr>
              <w:t xml:space="preserve">-Age (2) Size (3) </w:t>
            </w:r>
            <w:proofErr w:type="spellStart"/>
            <w:r w:rsidRPr="00083F89">
              <w:rPr>
                <w:rFonts w:ascii="Arial Narrow" w:hAnsi="Arial Narrow" w:cs="Helvetica"/>
                <w:sz w:val="22"/>
                <w:szCs w:val="22"/>
                <w:lang w:val="fr-FR"/>
              </w:rPr>
              <w:t>Let’s</w:t>
            </w:r>
            <w:proofErr w:type="spellEnd"/>
            <w:r w:rsidRPr="00083F89">
              <w:rPr>
                <w:rFonts w:ascii="Arial Narrow" w:hAnsi="Arial Narrow" w:cs="Helvetica"/>
                <w:sz w:val="22"/>
                <w:szCs w:val="22"/>
                <w:lang w:val="fr-FR"/>
              </w:rPr>
              <w:t xml:space="preserve"> go for a </w:t>
            </w:r>
            <w:proofErr w:type="spellStart"/>
            <w:r w:rsidRPr="00083F89">
              <w:rPr>
                <w:rFonts w:ascii="Arial Narrow" w:hAnsi="Arial Narrow" w:cs="Helvetica"/>
                <w:sz w:val="22"/>
                <w:szCs w:val="22"/>
                <w:lang w:val="fr-FR"/>
              </w:rPr>
              <w:t>walk</w:t>
            </w:r>
            <w:proofErr w:type="spellEnd"/>
            <w:r w:rsidRPr="00083F89">
              <w:rPr>
                <w:rFonts w:ascii="Arial Narrow" w:hAnsi="Arial Narrow" w:cs="Helvetica"/>
                <w:sz w:val="22"/>
                <w:szCs w:val="22"/>
                <w:lang w:val="fr-FR"/>
              </w:rPr>
              <w:t xml:space="preserve"> (4) SCAMOB (5) </w:t>
            </w:r>
            <w:proofErr w:type="spellStart"/>
            <w:r w:rsidR="006A56D0">
              <w:rPr>
                <w:rFonts w:ascii="Arial Narrow" w:hAnsi="Arial Narrow" w:cs="Helvetica"/>
                <w:sz w:val="22"/>
                <w:szCs w:val="22"/>
                <w:lang w:val="fr-FR"/>
              </w:rPr>
              <w:t>Walking</w:t>
            </w:r>
            <w:proofErr w:type="spellEnd"/>
            <w:r w:rsidR="006A56D0">
              <w:rPr>
                <w:rFonts w:ascii="Arial Narrow" w:hAnsi="Arial Narrow" w:cs="Helvetica"/>
                <w:sz w:val="22"/>
                <w:szCs w:val="22"/>
                <w:lang w:val="fr-FR"/>
              </w:rPr>
              <w:t xml:space="preserve"> in </w:t>
            </w:r>
            <w:proofErr w:type="spellStart"/>
            <w:r w:rsidR="006A56D0">
              <w:rPr>
                <w:rFonts w:ascii="Arial Narrow" w:hAnsi="Arial Narrow" w:cs="Helvetica"/>
                <w:sz w:val="22"/>
                <w:szCs w:val="22"/>
                <w:lang w:val="fr-FR"/>
              </w:rPr>
              <w:t>old</w:t>
            </w:r>
            <w:proofErr w:type="spellEnd"/>
            <w:r w:rsidR="006A56D0">
              <w:rPr>
                <w:rFonts w:ascii="Arial Narrow" w:hAnsi="Arial Narrow" w:cs="Helvetica"/>
                <w:sz w:val="22"/>
                <w:szCs w:val="22"/>
                <w:lang w:val="fr-FR"/>
              </w:rPr>
              <w:t xml:space="preserve"> </w:t>
            </w:r>
            <w:proofErr w:type="spellStart"/>
            <w:r w:rsidR="006A56D0">
              <w:rPr>
                <w:rFonts w:ascii="Arial Narrow" w:hAnsi="Arial Narrow" w:cs="Helvetica"/>
                <w:sz w:val="22"/>
                <w:szCs w:val="22"/>
                <w:lang w:val="fr-FR"/>
              </w:rPr>
              <w:t>age</w:t>
            </w:r>
            <w:proofErr w:type="spellEnd"/>
            <w:r w:rsidR="006A56D0">
              <w:rPr>
                <w:rFonts w:ascii="Arial Narrow" w:hAnsi="Arial Narrow" w:cs="Helvetica"/>
                <w:sz w:val="22"/>
                <w:szCs w:val="22"/>
                <w:lang w:val="fr-FR"/>
              </w:rPr>
              <w:t>, et</w:t>
            </w:r>
            <w:r w:rsidRPr="00083F89">
              <w:rPr>
                <w:rFonts w:ascii="Arial Narrow" w:hAnsi="Arial Narrow" w:cs="Helvetica"/>
                <w:sz w:val="22"/>
                <w:szCs w:val="22"/>
                <w:lang w:val="fr-FR"/>
              </w:rPr>
              <w:t xml:space="preserve"> certains projets d’étudiants au PhD focalisant sur les différents aspects de la mobilité pour les aînés au cours de la dernière décennie.</w:t>
            </w:r>
            <w:r>
              <w:rPr>
                <w:rFonts w:ascii="Arial Narrow" w:hAnsi="Arial Narrow" w:cs="Helvetica"/>
                <w:sz w:val="22"/>
                <w:szCs w:val="22"/>
                <w:lang w:val="fr-FR"/>
              </w:rPr>
              <w:t xml:space="preserve"> </w:t>
            </w:r>
            <w:r w:rsidR="006A56D0">
              <w:rPr>
                <w:rFonts w:ascii="Arial Narrow" w:hAnsi="Arial Narrow" w:cs="Helvetica"/>
                <w:sz w:val="22"/>
                <w:szCs w:val="22"/>
                <w:lang w:val="fr-FR"/>
              </w:rPr>
              <w:t xml:space="preserve">Approche longitudinale. </w:t>
            </w:r>
            <w:r>
              <w:rPr>
                <w:rFonts w:ascii="Arial Narrow" w:hAnsi="Arial Narrow" w:cs="Helvetica"/>
                <w:sz w:val="22"/>
                <w:szCs w:val="22"/>
                <w:lang w:val="fr-FR"/>
              </w:rPr>
              <w:t>Sélection des résultats pertinents des différentes études et leur catégorisation par thèmes</w:t>
            </w:r>
            <w:r w:rsidR="006A56D0">
              <w:rPr>
                <w:rFonts w:ascii="Arial Narrow" w:hAnsi="Arial Narrow" w:cs="Helvetica"/>
                <w:sz w:val="22"/>
                <w:szCs w:val="22"/>
                <w:lang w:val="fr-FR"/>
              </w:rPr>
              <w:t xml:space="preserve"> (notion d’utilisation, barrières physiques et barrières sociales)</w:t>
            </w:r>
            <w:r>
              <w:rPr>
                <w:rFonts w:ascii="Arial Narrow" w:hAnsi="Arial Narrow" w:cs="Helvetica"/>
                <w:sz w:val="22"/>
                <w:szCs w:val="22"/>
                <w:lang w:val="fr-FR"/>
              </w:rPr>
              <w:t xml:space="preserve">. Discussion entre les auteurs sur les résultats </w:t>
            </w:r>
          </w:p>
        </w:tc>
      </w:tr>
      <w:tr w:rsidR="0074439E" w:rsidRPr="0074439E" w:rsidTr="00674F2E">
        <w:tc>
          <w:tcPr>
            <w:tcW w:w="10490" w:type="dxa"/>
            <w:gridSpan w:val="2"/>
            <w:shd w:val="clear" w:color="auto" w:fill="BFBFBF" w:themeFill="background1" w:themeFillShade="BF"/>
          </w:tcPr>
          <w:p w:rsidR="0074439E" w:rsidRPr="00674F2E" w:rsidRDefault="0074439E" w:rsidP="005573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jc w:val="both"/>
              <w:rPr>
                <w:rFonts w:ascii="Arial Narrow" w:hAnsi="Arial Narrow" w:cs="Helvetica"/>
                <w:b/>
                <w:sz w:val="22"/>
                <w:szCs w:val="22"/>
              </w:rPr>
            </w:pPr>
            <w:r w:rsidRPr="00674F2E">
              <w:rPr>
                <w:rFonts w:ascii="Arial Narrow" w:hAnsi="Arial Narrow" w:cs="Helvetica"/>
                <w:b/>
                <w:sz w:val="22"/>
                <w:szCs w:val="22"/>
              </w:rPr>
              <w:t>Résumé et analyse</w:t>
            </w:r>
          </w:p>
        </w:tc>
      </w:tr>
      <w:tr w:rsidR="0074439E" w:rsidTr="000777FA">
        <w:tc>
          <w:tcPr>
            <w:tcW w:w="1560" w:type="dxa"/>
          </w:tcPr>
          <w:p w:rsidR="0074439E" w:rsidRPr="0074439E" w:rsidRDefault="0074439E" w:rsidP="00B54B5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Arial Narrow" w:hAnsi="Arial Narrow" w:cs="Helvetica"/>
                <w:bCs/>
                <w:i/>
                <w:sz w:val="28"/>
              </w:rPr>
            </w:pPr>
            <w:r w:rsidRPr="0074439E">
              <w:rPr>
                <w:rFonts w:ascii="Arial Narrow" w:hAnsi="Arial Narrow" w:cs="Helvetica"/>
                <w:bCs/>
                <w:i/>
                <w:sz w:val="22"/>
                <w:lang w:val="fr-FR"/>
              </w:rPr>
              <w:t xml:space="preserve">But </w:t>
            </w:r>
            <w:r w:rsidR="00B54B56">
              <w:rPr>
                <w:rFonts w:ascii="Arial Narrow" w:hAnsi="Arial Narrow" w:cs="Helvetica"/>
                <w:bCs/>
                <w:i/>
                <w:sz w:val="22"/>
                <w:lang w:val="fr-FR"/>
              </w:rPr>
              <w:t>de la recherche</w:t>
            </w:r>
            <w:r w:rsidRPr="0074439E">
              <w:rPr>
                <w:rFonts w:ascii="Arial Narrow" w:hAnsi="Arial Narrow" w:cs="Helvetica"/>
                <w:bCs/>
                <w:i/>
                <w:sz w:val="22"/>
                <w:lang w:val="fr-FR"/>
              </w:rPr>
              <w:t> :</w:t>
            </w:r>
          </w:p>
        </w:tc>
        <w:tc>
          <w:tcPr>
            <w:tcW w:w="8930" w:type="dxa"/>
          </w:tcPr>
          <w:p w:rsidR="0074439E" w:rsidRPr="00674F2E" w:rsidRDefault="006A56D0" w:rsidP="006A56D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jc w:val="both"/>
              <w:rPr>
                <w:rFonts w:ascii="Arial Narrow" w:hAnsi="Arial Narrow" w:cs="Helvetica"/>
                <w:bCs/>
                <w:sz w:val="22"/>
                <w:szCs w:val="22"/>
              </w:rPr>
            </w:pPr>
            <w:r>
              <w:rPr>
                <w:rFonts w:ascii="Arial Narrow" w:hAnsi="Arial Narrow" w:cs="Helvetica"/>
                <w:sz w:val="22"/>
                <w:szCs w:val="22"/>
                <w:lang w:val="fr-FR"/>
              </w:rPr>
              <w:t>Le but de la recherche est d’a</w:t>
            </w:r>
            <w:r w:rsidR="00D922AD">
              <w:rPr>
                <w:rFonts w:ascii="Arial Narrow" w:hAnsi="Arial Narrow" w:cs="Helvetica"/>
                <w:sz w:val="22"/>
                <w:szCs w:val="22"/>
                <w:lang w:val="fr-FR"/>
              </w:rPr>
              <w:t xml:space="preserve">ugmenter </w:t>
            </w:r>
            <w:r>
              <w:rPr>
                <w:rFonts w:ascii="Arial Narrow" w:hAnsi="Arial Narrow" w:cs="Helvetica"/>
                <w:sz w:val="22"/>
                <w:szCs w:val="22"/>
                <w:lang w:val="fr-FR"/>
              </w:rPr>
              <w:t>les</w:t>
            </w:r>
            <w:r w:rsidR="00D922AD">
              <w:rPr>
                <w:rFonts w:ascii="Arial Narrow" w:hAnsi="Arial Narrow" w:cs="Helvetica"/>
                <w:sz w:val="22"/>
                <w:szCs w:val="22"/>
                <w:lang w:val="fr-FR"/>
              </w:rPr>
              <w:t xml:space="preserve"> connaissances sur la complexité des relations transactionnelles entre une personne, son environnement et les tâches et activités de la vie courante.</w:t>
            </w:r>
          </w:p>
        </w:tc>
      </w:tr>
      <w:tr w:rsidR="0074439E" w:rsidTr="000777FA">
        <w:tc>
          <w:tcPr>
            <w:tcW w:w="1560" w:type="dxa"/>
          </w:tcPr>
          <w:p w:rsidR="0074439E" w:rsidRPr="0074439E" w:rsidRDefault="0074439E" w:rsidP="005573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Arial Narrow" w:hAnsi="Arial Narrow" w:cs="Helvetica"/>
                <w:bCs/>
                <w:i/>
                <w:sz w:val="22"/>
                <w:lang w:val="fr-FR"/>
              </w:rPr>
            </w:pPr>
            <w:r>
              <w:rPr>
                <w:rFonts w:ascii="Arial Narrow" w:hAnsi="Arial Narrow" w:cs="Helvetica"/>
                <w:bCs/>
                <w:i/>
                <w:sz w:val="22"/>
                <w:lang w:val="fr-FR"/>
              </w:rPr>
              <w:t xml:space="preserve">Objectifs : </w:t>
            </w:r>
          </w:p>
        </w:tc>
        <w:tc>
          <w:tcPr>
            <w:tcW w:w="8930" w:type="dxa"/>
          </w:tcPr>
          <w:p w:rsidR="00C20BF6" w:rsidRPr="00674F2E" w:rsidRDefault="00997685" w:rsidP="00C070F4">
            <w:pPr>
              <w:pStyle w:val="Paragraphedeliste"/>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left="0"/>
              <w:jc w:val="both"/>
              <w:rPr>
                <w:rFonts w:ascii="Arial Narrow" w:hAnsi="Arial Narrow" w:cs="Helvetica"/>
                <w:sz w:val="22"/>
                <w:szCs w:val="22"/>
                <w:lang w:val="fr-FR"/>
              </w:rPr>
            </w:pPr>
            <w:r>
              <w:rPr>
                <w:rFonts w:ascii="Arial Narrow" w:hAnsi="Arial Narrow" w:cs="Helvetica"/>
                <w:sz w:val="22"/>
                <w:szCs w:val="22"/>
                <w:lang w:val="fr-FR"/>
              </w:rPr>
              <w:t>Développer des solutions efficaces pour s</w:t>
            </w:r>
            <w:r w:rsidR="00B90012">
              <w:rPr>
                <w:rFonts w:ascii="Arial Narrow" w:hAnsi="Arial Narrow" w:cs="Helvetica"/>
                <w:sz w:val="22"/>
                <w:szCs w:val="22"/>
                <w:lang w:val="fr-FR"/>
              </w:rPr>
              <w:t>upporter la mobilité extérieure</w:t>
            </w:r>
            <w:r>
              <w:rPr>
                <w:rFonts w:ascii="Arial Narrow" w:hAnsi="Arial Narrow" w:cs="Helvetica"/>
                <w:sz w:val="22"/>
                <w:szCs w:val="22"/>
                <w:lang w:val="fr-FR"/>
              </w:rPr>
              <w:t xml:space="preserve"> des personnes âgées. </w:t>
            </w:r>
          </w:p>
        </w:tc>
      </w:tr>
      <w:tr w:rsidR="0074439E" w:rsidTr="000777FA">
        <w:tc>
          <w:tcPr>
            <w:tcW w:w="1560" w:type="dxa"/>
          </w:tcPr>
          <w:p w:rsidR="0074439E" w:rsidRPr="0074439E" w:rsidRDefault="0074439E" w:rsidP="005573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Arial Narrow" w:hAnsi="Arial Narrow" w:cs="Helvetica"/>
                <w:bCs/>
                <w:i/>
                <w:sz w:val="28"/>
              </w:rPr>
            </w:pPr>
            <w:r w:rsidRPr="0074439E">
              <w:rPr>
                <w:rFonts w:ascii="Arial Narrow" w:hAnsi="Arial Narrow" w:cs="Helvetica"/>
                <w:i/>
                <w:sz w:val="22"/>
                <w:lang w:val="fr-FR"/>
              </w:rPr>
              <w:t>Pertinence :</w:t>
            </w:r>
          </w:p>
        </w:tc>
        <w:tc>
          <w:tcPr>
            <w:tcW w:w="8930" w:type="dxa"/>
          </w:tcPr>
          <w:p w:rsidR="00C070F4" w:rsidRPr="00674F2E" w:rsidRDefault="00997685" w:rsidP="006A56D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jc w:val="both"/>
              <w:rPr>
                <w:rFonts w:ascii="Arial Narrow" w:hAnsi="Arial Narrow" w:cs="Helvetica"/>
                <w:bCs/>
                <w:sz w:val="22"/>
                <w:szCs w:val="22"/>
              </w:rPr>
            </w:pPr>
            <w:r>
              <w:rPr>
                <w:rFonts w:ascii="Arial Narrow" w:hAnsi="Arial Narrow" w:cs="Helvetica"/>
                <w:bCs/>
                <w:sz w:val="22"/>
                <w:szCs w:val="22"/>
              </w:rPr>
              <w:t xml:space="preserve">Les personnes âgées expérience des problèmes d’utilisation et de sécurité lorsqu’ils se déplacent à l’extérieur. Un environnement pédestre bien </w:t>
            </w:r>
            <w:r w:rsidR="006A56D0">
              <w:rPr>
                <w:rFonts w:ascii="Arial Narrow" w:hAnsi="Arial Narrow" w:cs="Helvetica"/>
                <w:bCs/>
                <w:sz w:val="22"/>
                <w:szCs w:val="22"/>
              </w:rPr>
              <w:t>pensé</w:t>
            </w:r>
            <w:r>
              <w:rPr>
                <w:rFonts w:ascii="Arial Narrow" w:hAnsi="Arial Narrow" w:cs="Helvetica"/>
                <w:bCs/>
                <w:sz w:val="22"/>
                <w:szCs w:val="22"/>
              </w:rPr>
              <w:t xml:space="preserve"> et un système de transport public efficace sont des éléments import</w:t>
            </w:r>
            <w:r w:rsidR="006A56D0">
              <w:rPr>
                <w:rFonts w:ascii="Arial Narrow" w:hAnsi="Arial Narrow" w:cs="Helvetica"/>
                <w:bCs/>
                <w:sz w:val="22"/>
                <w:szCs w:val="22"/>
              </w:rPr>
              <w:t xml:space="preserve">ants pour l’accomplissement des </w:t>
            </w:r>
            <w:r>
              <w:rPr>
                <w:rFonts w:ascii="Arial Narrow" w:hAnsi="Arial Narrow" w:cs="Helvetica"/>
                <w:bCs/>
                <w:sz w:val="22"/>
                <w:szCs w:val="22"/>
              </w:rPr>
              <w:t xml:space="preserve">activités quotidiennes des personnes âgées. </w:t>
            </w:r>
          </w:p>
        </w:tc>
      </w:tr>
      <w:tr w:rsidR="0074439E" w:rsidRPr="0047291B" w:rsidTr="000777FA">
        <w:tc>
          <w:tcPr>
            <w:tcW w:w="1560" w:type="dxa"/>
          </w:tcPr>
          <w:p w:rsidR="0074439E" w:rsidRPr="0074439E" w:rsidRDefault="0074439E" w:rsidP="005573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Arial Narrow" w:hAnsi="Arial Narrow" w:cs="Helvetica"/>
                <w:bCs/>
                <w:i/>
                <w:sz w:val="28"/>
              </w:rPr>
            </w:pPr>
            <w:r w:rsidRPr="0074439E">
              <w:rPr>
                <w:rFonts w:ascii="Arial Narrow" w:hAnsi="Arial Narrow" w:cs="Helvetica"/>
                <w:bCs/>
                <w:i/>
                <w:sz w:val="22"/>
                <w:lang w:val="fr-FR"/>
              </w:rPr>
              <w:t>Cadre théorique et conceptuel :</w:t>
            </w:r>
          </w:p>
        </w:tc>
        <w:tc>
          <w:tcPr>
            <w:tcW w:w="8930" w:type="dxa"/>
          </w:tcPr>
          <w:p w:rsidR="00D16A4D" w:rsidRPr="0047291B" w:rsidRDefault="0041197B" w:rsidP="000D074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Narrow" w:hAnsi="Arial Narrow" w:cs="Helvetica"/>
                <w:bCs/>
                <w:sz w:val="22"/>
                <w:szCs w:val="22"/>
              </w:rPr>
            </w:pPr>
            <w:r>
              <w:rPr>
                <w:rFonts w:ascii="Arial Narrow" w:hAnsi="Arial Narrow" w:cs="Helvetica"/>
                <w:sz w:val="22"/>
                <w:szCs w:val="22"/>
              </w:rPr>
              <w:t xml:space="preserve">La théorie écologique du vieillissement de </w:t>
            </w:r>
            <w:r w:rsidR="00D922AD" w:rsidRPr="00D922AD">
              <w:rPr>
                <w:rFonts w:ascii="Arial Narrow" w:hAnsi="Arial Narrow" w:cs="Helvetica"/>
                <w:sz w:val="22"/>
                <w:szCs w:val="22"/>
                <w:u w:val="single"/>
              </w:rPr>
              <w:t xml:space="preserve">Lawton and </w:t>
            </w:r>
            <w:proofErr w:type="spellStart"/>
            <w:r w:rsidR="00D922AD" w:rsidRPr="00D922AD">
              <w:rPr>
                <w:rFonts w:ascii="Arial Narrow" w:hAnsi="Arial Narrow" w:cs="Helvetica"/>
                <w:sz w:val="22"/>
                <w:szCs w:val="22"/>
                <w:u w:val="single"/>
              </w:rPr>
              <w:t>Nahemow’s</w:t>
            </w:r>
            <w:proofErr w:type="spellEnd"/>
            <w:r w:rsidR="00D922AD" w:rsidRPr="00D922AD">
              <w:rPr>
                <w:rFonts w:ascii="Arial Narrow" w:hAnsi="Arial Narrow" w:cs="Helvetica"/>
                <w:sz w:val="22"/>
                <w:szCs w:val="22"/>
                <w:u w:val="single"/>
              </w:rPr>
              <w:t xml:space="preserve"> (1973) </w:t>
            </w:r>
            <w:r>
              <w:rPr>
                <w:rFonts w:ascii="Arial Narrow" w:hAnsi="Arial Narrow" w:cs="Helvetica"/>
                <w:sz w:val="22"/>
                <w:szCs w:val="22"/>
              </w:rPr>
              <w:t xml:space="preserve"> permet aux auteurs de définir leurs grands thèmes </w:t>
            </w:r>
            <w:r w:rsidR="00E85F39">
              <w:rPr>
                <w:rFonts w:ascii="Arial Narrow" w:hAnsi="Arial Narrow" w:cs="Helvetica"/>
                <w:sz w:val="22"/>
                <w:szCs w:val="22"/>
              </w:rPr>
              <w:t>d’investigation. Ainsi, «</w:t>
            </w:r>
            <w:r w:rsidR="00DE0721">
              <w:rPr>
                <w:rFonts w:ascii="Arial Narrow" w:hAnsi="Arial Narrow" w:cs="Helvetica"/>
                <w:sz w:val="22"/>
                <w:szCs w:val="22"/>
              </w:rPr>
              <w:t>l’</w:t>
            </w:r>
            <w:r w:rsidR="00E85F39" w:rsidRPr="00E85F39">
              <w:rPr>
                <w:rFonts w:ascii="Arial Narrow" w:hAnsi="Arial Narrow" w:cs="Helvetica"/>
                <w:b/>
                <w:sz w:val="22"/>
                <w:szCs w:val="22"/>
              </w:rPr>
              <w:t>accessibilité</w:t>
            </w:r>
            <w:r w:rsidR="00E85F39">
              <w:rPr>
                <w:rFonts w:ascii="Arial Narrow" w:hAnsi="Arial Narrow" w:cs="Helvetica"/>
                <w:sz w:val="22"/>
                <w:szCs w:val="22"/>
              </w:rPr>
              <w:t> » est défini</w:t>
            </w:r>
            <w:r w:rsidR="00DE0721">
              <w:rPr>
                <w:rFonts w:ascii="Arial Narrow" w:hAnsi="Arial Narrow" w:cs="Helvetica"/>
                <w:sz w:val="22"/>
                <w:szCs w:val="22"/>
              </w:rPr>
              <w:t>e</w:t>
            </w:r>
            <w:r w:rsidR="00E85F39">
              <w:rPr>
                <w:rFonts w:ascii="Arial Narrow" w:hAnsi="Arial Narrow" w:cs="Helvetica"/>
                <w:sz w:val="22"/>
                <w:szCs w:val="22"/>
              </w:rPr>
              <w:t xml:space="preserve"> comme la </w:t>
            </w:r>
            <w:r w:rsidR="00D922AD" w:rsidRPr="0024341F">
              <w:rPr>
                <w:rFonts w:ascii="Arial Narrow" w:hAnsi="Arial Narrow" w:cs="Helvetica"/>
                <w:sz w:val="22"/>
                <w:szCs w:val="22"/>
              </w:rPr>
              <w:t>relation</w:t>
            </w:r>
            <w:r w:rsidR="00D922AD" w:rsidRPr="00AE5656">
              <w:rPr>
                <w:rFonts w:ascii="Arial Narrow" w:hAnsi="Arial Narrow" w:cs="Helvetica"/>
                <w:sz w:val="22"/>
                <w:szCs w:val="22"/>
              </w:rPr>
              <w:t xml:space="preserve"> entre</w:t>
            </w:r>
            <w:r w:rsidR="00B90012">
              <w:rPr>
                <w:rFonts w:ascii="Arial Narrow" w:hAnsi="Arial Narrow" w:cs="Helvetica"/>
                <w:sz w:val="22"/>
                <w:szCs w:val="22"/>
              </w:rPr>
              <w:t xml:space="preserve"> les capacités fonctionnelles d</w:t>
            </w:r>
            <w:r w:rsidR="00D922AD" w:rsidRPr="00AE5656">
              <w:rPr>
                <w:rFonts w:ascii="Arial Narrow" w:hAnsi="Arial Narrow" w:cs="Helvetica"/>
                <w:sz w:val="22"/>
                <w:szCs w:val="22"/>
              </w:rPr>
              <w:t>‘</w:t>
            </w:r>
            <w:r w:rsidR="00D922AD">
              <w:rPr>
                <w:rFonts w:ascii="Arial Narrow" w:hAnsi="Arial Narrow" w:cs="Helvetica"/>
                <w:sz w:val="22"/>
                <w:szCs w:val="22"/>
              </w:rPr>
              <w:t>un individu et la demande de l’environnement physique</w:t>
            </w:r>
            <w:r w:rsidR="00E85F39">
              <w:rPr>
                <w:rFonts w:ascii="Arial Narrow" w:hAnsi="Arial Narrow" w:cs="Helvetica"/>
                <w:sz w:val="22"/>
                <w:szCs w:val="22"/>
              </w:rPr>
              <w:t>. Cela comprend des composantes personnelles</w:t>
            </w:r>
            <w:r w:rsidR="00DE0721">
              <w:rPr>
                <w:rFonts w:ascii="Arial Narrow" w:hAnsi="Arial Narrow" w:cs="Helvetica"/>
                <w:sz w:val="22"/>
                <w:szCs w:val="22"/>
              </w:rPr>
              <w:t>,</w:t>
            </w:r>
            <w:r w:rsidR="00E85F39">
              <w:rPr>
                <w:rFonts w:ascii="Arial Narrow" w:hAnsi="Arial Narrow" w:cs="Helvetica"/>
                <w:sz w:val="22"/>
                <w:szCs w:val="22"/>
              </w:rPr>
              <w:t xml:space="preserve"> mais également environnementales qui sont évaluées objectivement. La « </w:t>
            </w:r>
            <w:r w:rsidR="00E85F39" w:rsidRPr="00E85F39">
              <w:rPr>
                <w:rFonts w:ascii="Arial Narrow" w:hAnsi="Arial Narrow" w:cs="Helvetica"/>
                <w:b/>
                <w:sz w:val="22"/>
                <w:szCs w:val="22"/>
              </w:rPr>
              <w:t>convivialité d’utilisation </w:t>
            </w:r>
            <w:r w:rsidR="00E85F39">
              <w:rPr>
                <w:rFonts w:ascii="Arial Narrow" w:hAnsi="Arial Narrow" w:cs="Helvetica"/>
                <w:sz w:val="22"/>
                <w:szCs w:val="22"/>
              </w:rPr>
              <w:t>» (</w:t>
            </w:r>
            <w:proofErr w:type="spellStart"/>
            <w:r w:rsidR="00E85F39">
              <w:rPr>
                <w:rFonts w:ascii="Arial Narrow" w:hAnsi="Arial Narrow" w:cs="Helvetica"/>
                <w:sz w:val="22"/>
                <w:szCs w:val="22"/>
              </w:rPr>
              <w:t>usability</w:t>
            </w:r>
            <w:proofErr w:type="spellEnd"/>
            <w:r w:rsidR="00E85F39">
              <w:rPr>
                <w:rFonts w:ascii="Arial Narrow" w:hAnsi="Arial Narrow" w:cs="Helvetica"/>
                <w:sz w:val="22"/>
                <w:szCs w:val="22"/>
              </w:rPr>
              <w:t xml:space="preserve">), pour sa part, est l’évaluation subjective  (influencée par la perception de l’individu et les normes culturelles et sociales) de la possibilité de performer une activité désirée dans un environnement donné. Cela comprend des composantes personnelles et environnementales, mais également des composantes liées à l’activité. </w:t>
            </w:r>
            <w:proofErr w:type="spellStart"/>
            <w:r w:rsidR="00D922AD" w:rsidRPr="00D922AD">
              <w:rPr>
                <w:rFonts w:ascii="Arial Narrow" w:hAnsi="Arial Narrow" w:cs="Helvetica"/>
                <w:sz w:val="22"/>
                <w:szCs w:val="22"/>
                <w:u w:val="single"/>
              </w:rPr>
              <w:t>Wretstrand</w:t>
            </w:r>
            <w:proofErr w:type="spellEnd"/>
            <w:r w:rsidR="00D922AD" w:rsidRPr="00D922AD">
              <w:rPr>
                <w:rFonts w:ascii="Arial Narrow" w:hAnsi="Arial Narrow" w:cs="Helvetica"/>
                <w:sz w:val="22"/>
                <w:szCs w:val="22"/>
                <w:u w:val="single"/>
              </w:rPr>
              <w:t xml:space="preserve"> (2003)</w:t>
            </w:r>
            <w:r w:rsidR="000D0747">
              <w:rPr>
                <w:rFonts w:ascii="Arial Narrow" w:hAnsi="Arial Narrow" w:cs="Helvetica"/>
                <w:sz w:val="22"/>
                <w:szCs w:val="22"/>
                <w:u w:val="single"/>
              </w:rPr>
              <w:t xml:space="preserve"> </w:t>
            </w:r>
            <w:r w:rsidR="000D0747">
              <w:rPr>
                <w:rFonts w:ascii="Arial Narrow" w:hAnsi="Arial Narrow" w:cs="Helvetica"/>
                <w:sz w:val="22"/>
                <w:szCs w:val="22"/>
              </w:rPr>
              <w:t>permet également aux auteurs de différencier les notions de « </w:t>
            </w:r>
            <w:r w:rsidR="000D0747" w:rsidRPr="000D0747">
              <w:rPr>
                <w:rFonts w:ascii="Arial Narrow" w:hAnsi="Arial Narrow" w:cs="Helvetica"/>
                <w:b/>
                <w:sz w:val="22"/>
                <w:szCs w:val="22"/>
              </w:rPr>
              <w:t>sécurité</w:t>
            </w:r>
            <w:r w:rsidR="000D0747">
              <w:rPr>
                <w:rFonts w:ascii="Arial Narrow" w:hAnsi="Arial Narrow" w:cs="Helvetica"/>
                <w:sz w:val="22"/>
                <w:szCs w:val="22"/>
              </w:rPr>
              <w:t> » (</w:t>
            </w:r>
            <w:proofErr w:type="spellStart"/>
            <w:r w:rsidR="000D0747">
              <w:rPr>
                <w:rFonts w:ascii="Arial Narrow" w:hAnsi="Arial Narrow" w:cs="Helvetica"/>
                <w:sz w:val="22"/>
                <w:szCs w:val="22"/>
              </w:rPr>
              <w:t>Safety</w:t>
            </w:r>
            <w:proofErr w:type="spellEnd"/>
            <w:r w:rsidR="000D0747">
              <w:rPr>
                <w:rFonts w:ascii="Arial Narrow" w:hAnsi="Arial Narrow" w:cs="Helvetica"/>
                <w:sz w:val="22"/>
                <w:szCs w:val="22"/>
              </w:rPr>
              <w:t>) signifiant un état sans danger et de « </w:t>
            </w:r>
            <w:r w:rsidR="000D0747" w:rsidRPr="000D0747">
              <w:rPr>
                <w:rFonts w:ascii="Arial Narrow" w:hAnsi="Arial Narrow" w:cs="Helvetica"/>
                <w:b/>
                <w:sz w:val="22"/>
                <w:szCs w:val="22"/>
              </w:rPr>
              <w:t>protection</w:t>
            </w:r>
            <w:r w:rsidR="000D0747">
              <w:rPr>
                <w:rFonts w:ascii="Arial Narrow" w:hAnsi="Arial Narrow" w:cs="Helvetica"/>
                <w:sz w:val="22"/>
                <w:szCs w:val="22"/>
              </w:rPr>
              <w:t> » (</w:t>
            </w:r>
            <w:proofErr w:type="spellStart"/>
            <w:r w:rsidR="000D0747">
              <w:rPr>
                <w:rFonts w:ascii="Arial Narrow" w:hAnsi="Arial Narrow" w:cs="Helvetica"/>
                <w:sz w:val="22"/>
                <w:szCs w:val="22"/>
              </w:rPr>
              <w:t>security</w:t>
            </w:r>
            <w:proofErr w:type="spellEnd"/>
            <w:r w:rsidR="000D0747">
              <w:rPr>
                <w:rFonts w:ascii="Arial Narrow" w:hAnsi="Arial Narrow" w:cs="Helvetica"/>
                <w:sz w:val="22"/>
                <w:szCs w:val="22"/>
              </w:rPr>
              <w:t xml:space="preserve">) signifiant un état intentionnel sans danger. Ces notions impliquent à la fois </w:t>
            </w:r>
            <w:r w:rsidR="00D922AD">
              <w:rPr>
                <w:rFonts w:ascii="Arial Narrow" w:hAnsi="Arial Narrow" w:cs="Helvetica"/>
                <w:sz w:val="22"/>
                <w:szCs w:val="22"/>
              </w:rPr>
              <w:t xml:space="preserve">une dimension cognitive (perception d’une probabilité d’incidents potentiels), </w:t>
            </w:r>
            <w:r w:rsidR="000D0747">
              <w:rPr>
                <w:rFonts w:ascii="Arial Narrow" w:hAnsi="Arial Narrow" w:cs="Helvetica"/>
                <w:sz w:val="22"/>
                <w:szCs w:val="22"/>
              </w:rPr>
              <w:t xml:space="preserve">une </w:t>
            </w:r>
            <w:r w:rsidR="00D922AD">
              <w:rPr>
                <w:rFonts w:ascii="Arial Narrow" w:hAnsi="Arial Narrow" w:cs="Helvetica"/>
                <w:sz w:val="22"/>
                <w:szCs w:val="22"/>
              </w:rPr>
              <w:t>dimension émotive (peur et anxiété l</w:t>
            </w:r>
            <w:r w:rsidR="000D0747">
              <w:rPr>
                <w:rFonts w:ascii="Arial Narrow" w:hAnsi="Arial Narrow" w:cs="Helvetica"/>
                <w:sz w:val="22"/>
                <w:szCs w:val="22"/>
              </w:rPr>
              <w:t xml:space="preserve">iées aux incidents potentiels) et une </w:t>
            </w:r>
            <w:r w:rsidR="00D922AD">
              <w:rPr>
                <w:rFonts w:ascii="Arial Narrow" w:hAnsi="Arial Narrow" w:cs="Helvetica"/>
                <w:sz w:val="22"/>
                <w:szCs w:val="22"/>
              </w:rPr>
              <w:t>dimension comportementale (comportement de prévention et de protection)</w:t>
            </w:r>
            <w:r w:rsidR="000D0747">
              <w:rPr>
                <w:rFonts w:ascii="Arial Narrow" w:hAnsi="Arial Narrow" w:cs="Helvetica"/>
                <w:sz w:val="22"/>
                <w:szCs w:val="22"/>
              </w:rPr>
              <w:t>.</w:t>
            </w:r>
          </w:p>
        </w:tc>
      </w:tr>
      <w:tr w:rsidR="0074439E" w:rsidRPr="00F129B3" w:rsidTr="000777FA">
        <w:tc>
          <w:tcPr>
            <w:tcW w:w="1560" w:type="dxa"/>
          </w:tcPr>
          <w:p w:rsidR="0074439E" w:rsidRPr="0074439E" w:rsidRDefault="00F129B3" w:rsidP="005573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Arial Narrow" w:hAnsi="Arial Narrow" w:cs="Helvetica"/>
                <w:bCs/>
                <w:i/>
                <w:sz w:val="28"/>
              </w:rPr>
            </w:pPr>
            <w:r>
              <w:rPr>
                <w:rFonts w:ascii="Arial Narrow" w:hAnsi="Arial Narrow" w:cs="Helvetica"/>
                <w:bCs/>
                <w:i/>
                <w:sz w:val="22"/>
                <w:lang w:val="fr-FR"/>
              </w:rPr>
              <w:t xml:space="preserve">Argumentation </w:t>
            </w:r>
            <w:r w:rsidRPr="0074439E">
              <w:rPr>
                <w:rFonts w:ascii="Arial Narrow" w:hAnsi="Arial Narrow" w:cs="Helvetica"/>
                <w:bCs/>
                <w:i/>
                <w:sz w:val="22"/>
                <w:lang w:val="fr-FR"/>
              </w:rPr>
              <w:t>:</w:t>
            </w:r>
          </w:p>
        </w:tc>
        <w:tc>
          <w:tcPr>
            <w:tcW w:w="8930" w:type="dxa"/>
          </w:tcPr>
          <w:p w:rsidR="000D0747" w:rsidRDefault="000D0747" w:rsidP="000D0747">
            <w:pPr>
              <w:pStyle w:val="Paragraphedeliste"/>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jc w:val="both"/>
              <w:rPr>
                <w:rFonts w:ascii="Arial Narrow" w:hAnsi="Arial Narrow" w:cs="Helvetica"/>
                <w:sz w:val="22"/>
                <w:szCs w:val="22"/>
                <w:lang w:val="fr-FR"/>
              </w:rPr>
            </w:pPr>
            <w:r>
              <w:rPr>
                <w:rFonts w:ascii="Arial Narrow" w:hAnsi="Arial Narrow" w:cs="Helvetica"/>
                <w:sz w:val="22"/>
                <w:szCs w:val="22"/>
                <w:lang w:val="fr-FR"/>
              </w:rPr>
              <w:t xml:space="preserve">Selon les auteurs, le maintien de l’indépendance pour les activités de la vie quotidienne est une priorité pour les personnes âgées et cela passe principalement par la mobilité extérieure. </w:t>
            </w:r>
            <w:r w:rsidR="007252E6">
              <w:rPr>
                <w:rFonts w:ascii="Arial Narrow" w:hAnsi="Arial Narrow" w:cs="Helvetica"/>
                <w:sz w:val="22"/>
                <w:szCs w:val="22"/>
                <w:lang w:val="fr-FR"/>
              </w:rPr>
              <w:t>Dans une situation où l’environnement extérieur rend la personne âgée immobile, celle-ci est davantage sujette à la dépression, à un manque de motivation, à la peur et à la solitude. À l’inverse, les aînés mobiles apprécie</w:t>
            </w:r>
            <w:r w:rsidR="00DE0721">
              <w:rPr>
                <w:rFonts w:ascii="Arial Narrow" w:hAnsi="Arial Narrow" w:cs="Helvetica"/>
                <w:sz w:val="22"/>
                <w:szCs w:val="22"/>
                <w:lang w:val="fr-FR"/>
              </w:rPr>
              <w:t>nt</w:t>
            </w:r>
            <w:r w:rsidR="007252E6">
              <w:rPr>
                <w:rFonts w:ascii="Arial Narrow" w:hAnsi="Arial Narrow" w:cs="Helvetica"/>
                <w:sz w:val="22"/>
                <w:szCs w:val="22"/>
                <w:lang w:val="fr-FR"/>
              </w:rPr>
              <w:t xml:space="preserve"> davantage la vie. </w:t>
            </w:r>
          </w:p>
          <w:p w:rsidR="007252E6" w:rsidRDefault="007252E6" w:rsidP="000D0747">
            <w:pPr>
              <w:pStyle w:val="Paragraphedeliste"/>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jc w:val="both"/>
              <w:rPr>
                <w:rFonts w:ascii="Arial Narrow" w:hAnsi="Arial Narrow" w:cs="Helvetica"/>
                <w:sz w:val="22"/>
                <w:szCs w:val="22"/>
                <w:lang w:val="fr-FR"/>
              </w:rPr>
            </w:pPr>
            <w:r>
              <w:rPr>
                <w:rFonts w:ascii="Arial Narrow" w:hAnsi="Arial Narrow" w:cs="Helvetica"/>
                <w:sz w:val="22"/>
                <w:szCs w:val="22"/>
                <w:lang w:val="fr-FR"/>
              </w:rPr>
              <w:t xml:space="preserve">Certains facteurs personnels comme </w:t>
            </w:r>
            <w:r w:rsidRPr="002F1F31">
              <w:rPr>
                <w:rFonts w:ascii="Arial Narrow" w:hAnsi="Arial Narrow" w:cs="Helvetica"/>
                <w:b/>
                <w:sz w:val="22"/>
                <w:szCs w:val="22"/>
                <w:lang w:val="fr-FR"/>
              </w:rPr>
              <w:t>l’âge</w:t>
            </w:r>
            <w:r>
              <w:rPr>
                <w:rFonts w:ascii="Arial Narrow" w:hAnsi="Arial Narrow" w:cs="Helvetica"/>
                <w:sz w:val="22"/>
                <w:szCs w:val="22"/>
                <w:lang w:val="fr-FR"/>
              </w:rPr>
              <w:t xml:space="preserve">, le </w:t>
            </w:r>
            <w:r w:rsidRPr="002F1F31">
              <w:rPr>
                <w:rFonts w:ascii="Arial Narrow" w:hAnsi="Arial Narrow" w:cs="Helvetica"/>
                <w:b/>
                <w:sz w:val="22"/>
                <w:szCs w:val="22"/>
                <w:lang w:val="fr-FR"/>
              </w:rPr>
              <w:t>sexe</w:t>
            </w:r>
            <w:r>
              <w:rPr>
                <w:rFonts w:ascii="Arial Narrow" w:hAnsi="Arial Narrow" w:cs="Helvetica"/>
                <w:sz w:val="22"/>
                <w:szCs w:val="22"/>
                <w:lang w:val="fr-FR"/>
              </w:rPr>
              <w:t xml:space="preserve">, les </w:t>
            </w:r>
            <w:r w:rsidRPr="002F1F31">
              <w:rPr>
                <w:rFonts w:ascii="Arial Narrow" w:hAnsi="Arial Narrow" w:cs="Helvetica"/>
                <w:b/>
                <w:sz w:val="22"/>
                <w:szCs w:val="22"/>
                <w:lang w:val="fr-FR"/>
              </w:rPr>
              <w:t>limitations fonctionnelles</w:t>
            </w:r>
            <w:r>
              <w:rPr>
                <w:rFonts w:ascii="Arial Narrow" w:hAnsi="Arial Narrow" w:cs="Helvetica"/>
                <w:sz w:val="22"/>
                <w:szCs w:val="22"/>
                <w:lang w:val="fr-FR"/>
              </w:rPr>
              <w:t xml:space="preserve"> et psychologiques (comme la motivation, la peur et l’insécurité) influencent grandement la mobilité des aînés et par le fait même, leur participation sociale et l’exécution de leurs activités quotidiennes de la vie courante.</w:t>
            </w:r>
          </w:p>
          <w:p w:rsidR="007252E6" w:rsidRDefault="007252E6" w:rsidP="000D0747">
            <w:pPr>
              <w:pStyle w:val="Paragraphedeliste"/>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jc w:val="both"/>
              <w:rPr>
                <w:rFonts w:ascii="Arial Narrow" w:hAnsi="Arial Narrow" w:cs="Helvetica"/>
                <w:sz w:val="22"/>
                <w:szCs w:val="22"/>
                <w:lang w:val="fr-FR"/>
              </w:rPr>
            </w:pPr>
            <w:r>
              <w:rPr>
                <w:rFonts w:ascii="Arial Narrow" w:hAnsi="Arial Narrow" w:cs="Helvetica"/>
                <w:sz w:val="22"/>
                <w:szCs w:val="22"/>
                <w:lang w:val="fr-FR"/>
              </w:rPr>
              <w:t xml:space="preserve">Certains aînés décideront de combler certaines limitations dans leurs déplacements à l’extérieur avec des </w:t>
            </w:r>
            <w:r w:rsidRPr="002F1F31">
              <w:rPr>
                <w:rFonts w:ascii="Arial Narrow" w:hAnsi="Arial Narrow" w:cs="Helvetica"/>
                <w:b/>
                <w:sz w:val="22"/>
                <w:szCs w:val="22"/>
                <w:lang w:val="fr-FR"/>
              </w:rPr>
              <w:t>accessoires d’aide à la mobilité</w:t>
            </w:r>
            <w:r>
              <w:rPr>
                <w:rFonts w:ascii="Arial Narrow" w:hAnsi="Arial Narrow" w:cs="Helvetica"/>
                <w:sz w:val="22"/>
                <w:szCs w:val="22"/>
                <w:lang w:val="fr-FR"/>
              </w:rPr>
              <w:t xml:space="preserve">. Néanmoins, ces accessoires peuvent également être un </w:t>
            </w:r>
            <w:r w:rsidR="002F1F31">
              <w:rPr>
                <w:rFonts w:ascii="Arial Narrow" w:hAnsi="Arial Narrow" w:cs="Helvetica"/>
                <w:sz w:val="22"/>
                <w:szCs w:val="22"/>
                <w:lang w:val="fr-FR"/>
              </w:rPr>
              <w:t xml:space="preserve">facteur de restriction </w:t>
            </w:r>
            <w:r>
              <w:rPr>
                <w:rFonts w:ascii="Arial Narrow" w:hAnsi="Arial Narrow" w:cs="Helvetica"/>
                <w:sz w:val="22"/>
                <w:szCs w:val="22"/>
                <w:lang w:val="fr-FR"/>
              </w:rPr>
              <w:t>de la mobilité (voir p. 186). En effet, ceux-ci peuvent représenter une barri</w:t>
            </w:r>
            <w:r w:rsidR="00DE0721">
              <w:rPr>
                <w:rFonts w:ascii="Arial Narrow" w:hAnsi="Arial Narrow" w:cs="Helvetica"/>
                <w:sz w:val="22"/>
                <w:szCs w:val="22"/>
                <w:lang w:val="fr-FR"/>
              </w:rPr>
              <w:t xml:space="preserve">ère physique (environnement non </w:t>
            </w:r>
            <w:r>
              <w:rPr>
                <w:rFonts w:ascii="Arial Narrow" w:hAnsi="Arial Narrow" w:cs="Helvetica"/>
                <w:sz w:val="22"/>
                <w:szCs w:val="22"/>
                <w:lang w:val="fr-FR"/>
              </w:rPr>
              <w:t>adapté à ces accessoires), mais également  psychologique, car ils représentent un stigma et renvoie</w:t>
            </w:r>
            <w:r w:rsidR="00DE0721">
              <w:rPr>
                <w:rFonts w:ascii="Arial Narrow" w:hAnsi="Arial Narrow" w:cs="Helvetica"/>
                <w:sz w:val="22"/>
                <w:szCs w:val="22"/>
                <w:lang w:val="fr-FR"/>
              </w:rPr>
              <w:t>nt</w:t>
            </w:r>
            <w:r>
              <w:rPr>
                <w:rFonts w:ascii="Arial Narrow" w:hAnsi="Arial Narrow" w:cs="Helvetica"/>
                <w:sz w:val="22"/>
                <w:szCs w:val="22"/>
                <w:lang w:val="fr-FR"/>
              </w:rPr>
              <w:t xml:space="preserve"> une image de vulnérabilité</w:t>
            </w:r>
            <w:r w:rsidR="00093E3F">
              <w:rPr>
                <w:rFonts w:ascii="Arial Narrow" w:hAnsi="Arial Narrow" w:cs="Helvetica"/>
                <w:sz w:val="22"/>
                <w:szCs w:val="22"/>
                <w:lang w:val="fr-FR"/>
              </w:rPr>
              <w:t>.</w:t>
            </w:r>
          </w:p>
          <w:p w:rsidR="007766D0" w:rsidRPr="00D922AD" w:rsidRDefault="00093E3F" w:rsidP="00DE0721">
            <w:pPr>
              <w:pStyle w:val="Paragraphedeliste"/>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jc w:val="both"/>
              <w:rPr>
                <w:rFonts w:ascii="Arial Narrow" w:hAnsi="Arial Narrow" w:cs="Helvetica"/>
                <w:bCs/>
                <w:sz w:val="22"/>
                <w:szCs w:val="22"/>
                <w:u w:val="single"/>
                <w:lang w:val="fr-FR"/>
              </w:rPr>
            </w:pPr>
            <w:r>
              <w:rPr>
                <w:rFonts w:ascii="Arial Narrow" w:hAnsi="Arial Narrow" w:cs="Helvetica"/>
                <w:sz w:val="22"/>
                <w:szCs w:val="22"/>
                <w:lang w:val="fr-FR"/>
              </w:rPr>
              <w:t xml:space="preserve">Des </w:t>
            </w:r>
            <w:r w:rsidR="002F1F31">
              <w:rPr>
                <w:rFonts w:ascii="Arial Narrow" w:hAnsi="Arial Narrow" w:cs="Helvetica"/>
                <w:sz w:val="22"/>
                <w:szCs w:val="22"/>
                <w:lang w:val="fr-FR"/>
              </w:rPr>
              <w:t>barrières</w:t>
            </w:r>
            <w:r>
              <w:rPr>
                <w:rFonts w:ascii="Arial Narrow" w:hAnsi="Arial Narrow" w:cs="Helvetica"/>
                <w:sz w:val="22"/>
                <w:szCs w:val="22"/>
                <w:lang w:val="fr-FR"/>
              </w:rPr>
              <w:t xml:space="preserve"> physiques et plusieurs éléments liés à la </w:t>
            </w:r>
            <w:r w:rsidRPr="002F1F31">
              <w:rPr>
                <w:rFonts w:ascii="Arial Narrow" w:hAnsi="Arial Narrow" w:cs="Helvetica"/>
                <w:b/>
                <w:sz w:val="22"/>
                <w:szCs w:val="22"/>
                <w:lang w:val="fr-FR"/>
              </w:rPr>
              <w:t>circulation</w:t>
            </w:r>
            <w:r>
              <w:rPr>
                <w:rFonts w:ascii="Arial Narrow" w:hAnsi="Arial Narrow" w:cs="Helvetica"/>
                <w:sz w:val="22"/>
                <w:szCs w:val="22"/>
                <w:lang w:val="fr-FR"/>
              </w:rPr>
              <w:t xml:space="preserve"> peuvent également restreindre la mobilité des aînés, notamment des </w:t>
            </w:r>
            <w:r w:rsidRPr="002F1F31">
              <w:rPr>
                <w:rFonts w:ascii="Arial Narrow" w:hAnsi="Arial Narrow" w:cs="Helvetica"/>
                <w:b/>
                <w:sz w:val="22"/>
                <w:szCs w:val="22"/>
                <w:lang w:val="fr-FR"/>
              </w:rPr>
              <w:t>dénivellations</w:t>
            </w:r>
            <w:r>
              <w:rPr>
                <w:rFonts w:ascii="Arial Narrow" w:hAnsi="Arial Narrow" w:cs="Helvetica"/>
                <w:sz w:val="22"/>
                <w:szCs w:val="22"/>
                <w:lang w:val="fr-FR"/>
              </w:rPr>
              <w:t xml:space="preserve"> importantes, des </w:t>
            </w:r>
            <w:r w:rsidRPr="002F1F31">
              <w:rPr>
                <w:rFonts w:ascii="Arial Narrow" w:hAnsi="Arial Narrow" w:cs="Helvetica"/>
                <w:b/>
                <w:sz w:val="22"/>
                <w:szCs w:val="22"/>
                <w:lang w:val="fr-FR"/>
              </w:rPr>
              <w:t>surfaces inégales et irrégulières</w:t>
            </w:r>
            <w:r>
              <w:rPr>
                <w:rFonts w:ascii="Arial Narrow" w:hAnsi="Arial Narrow" w:cs="Helvetica"/>
                <w:sz w:val="22"/>
                <w:szCs w:val="22"/>
                <w:lang w:val="fr-FR"/>
              </w:rPr>
              <w:t xml:space="preserve">, le manque de place pour </w:t>
            </w:r>
            <w:r w:rsidRPr="002F1F31">
              <w:rPr>
                <w:rFonts w:ascii="Arial Narrow" w:hAnsi="Arial Narrow" w:cs="Helvetica"/>
                <w:b/>
                <w:sz w:val="22"/>
                <w:szCs w:val="22"/>
                <w:lang w:val="fr-FR"/>
              </w:rPr>
              <w:t>s’assoir</w:t>
            </w:r>
            <w:r>
              <w:rPr>
                <w:rFonts w:ascii="Arial Narrow" w:hAnsi="Arial Narrow" w:cs="Helvetica"/>
                <w:sz w:val="22"/>
                <w:szCs w:val="22"/>
                <w:lang w:val="fr-FR"/>
              </w:rPr>
              <w:t xml:space="preserve">, les longues </w:t>
            </w:r>
            <w:r w:rsidRPr="002F1F31">
              <w:rPr>
                <w:rFonts w:ascii="Arial Narrow" w:hAnsi="Arial Narrow" w:cs="Helvetica"/>
                <w:b/>
                <w:sz w:val="22"/>
                <w:szCs w:val="22"/>
                <w:lang w:val="fr-FR"/>
              </w:rPr>
              <w:t>distances</w:t>
            </w:r>
            <w:r>
              <w:rPr>
                <w:rFonts w:ascii="Arial Narrow" w:hAnsi="Arial Narrow" w:cs="Helvetica"/>
                <w:sz w:val="22"/>
                <w:szCs w:val="22"/>
                <w:lang w:val="fr-FR"/>
              </w:rPr>
              <w:t xml:space="preserve"> pour atteindre les </w:t>
            </w:r>
            <w:r w:rsidRPr="002F1F31">
              <w:rPr>
                <w:rFonts w:ascii="Arial Narrow" w:hAnsi="Arial Narrow" w:cs="Helvetica"/>
                <w:b/>
                <w:sz w:val="22"/>
                <w:szCs w:val="22"/>
                <w:lang w:val="fr-FR"/>
              </w:rPr>
              <w:t>transports publics</w:t>
            </w:r>
            <w:r>
              <w:rPr>
                <w:rFonts w:ascii="Arial Narrow" w:hAnsi="Arial Narrow" w:cs="Helvetica"/>
                <w:sz w:val="22"/>
                <w:szCs w:val="22"/>
                <w:lang w:val="fr-FR"/>
              </w:rPr>
              <w:t xml:space="preserve"> ou </w:t>
            </w:r>
            <w:r w:rsidR="00DE0721">
              <w:rPr>
                <w:rFonts w:ascii="Arial Narrow" w:hAnsi="Arial Narrow" w:cs="Helvetica"/>
                <w:b/>
                <w:sz w:val="22"/>
                <w:szCs w:val="22"/>
                <w:lang w:val="fr-FR"/>
              </w:rPr>
              <w:t>services public</w:t>
            </w:r>
            <w:bookmarkStart w:id="0" w:name="_GoBack"/>
            <w:bookmarkEnd w:id="0"/>
            <w:r w:rsidRPr="002F1F31">
              <w:rPr>
                <w:rFonts w:ascii="Arial Narrow" w:hAnsi="Arial Narrow" w:cs="Helvetica"/>
                <w:b/>
                <w:sz w:val="22"/>
                <w:szCs w:val="22"/>
                <w:lang w:val="fr-FR"/>
              </w:rPr>
              <w:t>s</w:t>
            </w:r>
            <w:r>
              <w:rPr>
                <w:rFonts w:ascii="Arial Narrow" w:hAnsi="Arial Narrow" w:cs="Helvetica"/>
                <w:sz w:val="22"/>
                <w:szCs w:val="22"/>
                <w:lang w:val="fr-FR"/>
              </w:rPr>
              <w:t xml:space="preserve">. </w:t>
            </w:r>
            <w:r w:rsidR="00B30E72">
              <w:rPr>
                <w:rFonts w:ascii="Arial Narrow" w:hAnsi="Arial Narrow" w:cs="Helvetica"/>
                <w:sz w:val="22"/>
                <w:szCs w:val="22"/>
                <w:lang w:val="fr-FR"/>
              </w:rPr>
              <w:t xml:space="preserve">Les conditions </w:t>
            </w:r>
            <w:r w:rsidR="00B30E72" w:rsidRPr="002F1F31">
              <w:rPr>
                <w:rFonts w:ascii="Arial Narrow" w:hAnsi="Arial Narrow" w:cs="Helvetica"/>
                <w:b/>
                <w:sz w:val="22"/>
                <w:szCs w:val="22"/>
                <w:lang w:val="fr-FR"/>
              </w:rPr>
              <w:t>hivernales</w:t>
            </w:r>
            <w:r w:rsidR="00B30E72">
              <w:rPr>
                <w:rFonts w:ascii="Arial Narrow" w:hAnsi="Arial Narrow" w:cs="Helvetica"/>
                <w:sz w:val="22"/>
                <w:szCs w:val="22"/>
                <w:lang w:val="fr-FR"/>
              </w:rPr>
              <w:t xml:space="preserve"> représentent également un défi pour les aînés, principalement </w:t>
            </w:r>
            <w:r w:rsidR="00B30E72" w:rsidRPr="002F1F31">
              <w:rPr>
                <w:rFonts w:ascii="Arial Narrow" w:hAnsi="Arial Narrow" w:cs="Helvetica"/>
                <w:b/>
                <w:sz w:val="22"/>
                <w:szCs w:val="22"/>
                <w:lang w:val="fr-FR"/>
              </w:rPr>
              <w:t>l’entretien</w:t>
            </w:r>
            <w:r w:rsidR="00B30E72">
              <w:rPr>
                <w:rFonts w:ascii="Arial Narrow" w:hAnsi="Arial Narrow" w:cs="Helvetica"/>
                <w:sz w:val="22"/>
                <w:szCs w:val="22"/>
                <w:lang w:val="fr-FR"/>
              </w:rPr>
              <w:t xml:space="preserve"> des </w:t>
            </w:r>
            <w:r w:rsidR="00B30E72">
              <w:rPr>
                <w:rFonts w:ascii="Arial Narrow" w:hAnsi="Arial Narrow" w:cs="Helvetica"/>
                <w:sz w:val="22"/>
                <w:szCs w:val="22"/>
                <w:lang w:val="fr-FR"/>
              </w:rPr>
              <w:lastRenderedPageBreak/>
              <w:t xml:space="preserve">aménagements pour piétons. Néanmoins, certaines solutions tant physiques que sociales peuvent faciliter la mobilité des personnes âgées. Des facteurs comme le </w:t>
            </w:r>
            <w:r w:rsidR="00B30E72" w:rsidRPr="002F1F31">
              <w:rPr>
                <w:rFonts w:ascii="Arial Narrow" w:hAnsi="Arial Narrow" w:cs="Helvetica"/>
                <w:b/>
                <w:sz w:val="22"/>
                <w:szCs w:val="22"/>
                <w:lang w:val="fr-FR"/>
              </w:rPr>
              <w:t>temps de traverse</w:t>
            </w:r>
            <w:r w:rsidR="00B30E72">
              <w:rPr>
                <w:rFonts w:ascii="Arial Narrow" w:hAnsi="Arial Narrow" w:cs="Helvetica"/>
                <w:sz w:val="22"/>
                <w:szCs w:val="22"/>
                <w:lang w:val="fr-FR"/>
              </w:rPr>
              <w:t xml:space="preserve"> aux intersections, des dénivellations réduites et une </w:t>
            </w:r>
            <w:r w:rsidR="00B30E72" w:rsidRPr="002F1F31">
              <w:rPr>
                <w:rFonts w:ascii="Arial Narrow" w:hAnsi="Arial Narrow" w:cs="Helvetica"/>
                <w:b/>
                <w:sz w:val="22"/>
                <w:szCs w:val="22"/>
                <w:lang w:val="fr-FR"/>
              </w:rPr>
              <w:t>séparation des différents usagers</w:t>
            </w:r>
            <w:r w:rsidR="00B30E72">
              <w:rPr>
                <w:rFonts w:ascii="Arial Narrow" w:hAnsi="Arial Narrow" w:cs="Helvetica"/>
                <w:sz w:val="22"/>
                <w:szCs w:val="22"/>
                <w:lang w:val="fr-FR"/>
              </w:rPr>
              <w:t xml:space="preserve"> de la route (principalement cyclistes et piétons) sont soulevés par les auteurs. </w:t>
            </w:r>
          </w:p>
        </w:tc>
      </w:tr>
      <w:tr w:rsidR="0074439E" w:rsidTr="000777FA">
        <w:tc>
          <w:tcPr>
            <w:tcW w:w="1560" w:type="dxa"/>
          </w:tcPr>
          <w:p w:rsidR="0074439E" w:rsidRDefault="0074439E" w:rsidP="005573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Arial Narrow" w:hAnsi="Arial Narrow" w:cs="Helvetica"/>
                <w:bCs/>
                <w:i/>
                <w:sz w:val="22"/>
                <w:lang w:val="fr-FR"/>
              </w:rPr>
            </w:pPr>
            <w:r>
              <w:rPr>
                <w:rFonts w:ascii="Arial Narrow" w:hAnsi="Arial Narrow" w:cs="Helvetica"/>
                <w:bCs/>
                <w:i/>
                <w:sz w:val="22"/>
                <w:lang w:val="fr-FR"/>
              </w:rPr>
              <w:lastRenderedPageBreak/>
              <w:t>Principale contribution :</w:t>
            </w:r>
          </w:p>
        </w:tc>
        <w:tc>
          <w:tcPr>
            <w:tcW w:w="8930" w:type="dxa"/>
          </w:tcPr>
          <w:p w:rsidR="0074439E" w:rsidRPr="00674F2E" w:rsidRDefault="00D922AD" w:rsidP="007A1AA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jc w:val="both"/>
              <w:rPr>
                <w:rFonts w:ascii="Arial Narrow" w:hAnsi="Arial Narrow" w:cs="Helvetica"/>
                <w:bCs/>
                <w:sz w:val="22"/>
                <w:szCs w:val="22"/>
              </w:rPr>
            </w:pPr>
            <w:r>
              <w:rPr>
                <w:rFonts w:ascii="Arial Narrow" w:hAnsi="Arial Narrow" w:cs="Helvetica"/>
                <w:sz w:val="22"/>
                <w:szCs w:val="22"/>
                <w:lang w:val="fr-FR"/>
              </w:rPr>
              <w:t>La mobilité extérieure est essentielle pour le maintien de la participation sociale et de l’indépendance des aînés en perte d’autonomie. Il faut améliorer la relation personne-environnement afin d’adapter davantage les barrières environnementales aux capacités des personnes âgées.</w:t>
            </w:r>
          </w:p>
        </w:tc>
      </w:tr>
      <w:tr w:rsidR="0074439E" w:rsidTr="00674F2E">
        <w:tc>
          <w:tcPr>
            <w:tcW w:w="10490" w:type="dxa"/>
            <w:gridSpan w:val="2"/>
            <w:shd w:val="clear" w:color="auto" w:fill="BFBFBF" w:themeFill="background1" w:themeFillShade="BF"/>
          </w:tcPr>
          <w:p w:rsidR="0074439E" w:rsidRPr="00674F2E" w:rsidRDefault="009A75C5" w:rsidP="005573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jc w:val="both"/>
              <w:rPr>
                <w:rFonts w:ascii="Arial Narrow" w:hAnsi="Arial Narrow" w:cs="Helvetica"/>
                <w:b/>
                <w:bCs/>
                <w:sz w:val="22"/>
                <w:szCs w:val="22"/>
              </w:rPr>
            </w:pPr>
            <w:r>
              <w:rPr>
                <w:rFonts w:ascii="Arial Narrow" w:hAnsi="Arial Narrow" w:cs="Helvetica"/>
                <w:b/>
                <w:bCs/>
                <w:sz w:val="22"/>
                <w:szCs w:val="22"/>
              </w:rPr>
              <w:t>Appréciation</w:t>
            </w:r>
          </w:p>
        </w:tc>
      </w:tr>
      <w:tr w:rsidR="0074439E" w:rsidTr="000777FA">
        <w:tc>
          <w:tcPr>
            <w:tcW w:w="1560" w:type="dxa"/>
          </w:tcPr>
          <w:p w:rsidR="0074439E" w:rsidRPr="0074439E" w:rsidRDefault="0074439E" w:rsidP="007443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Arial Narrow" w:hAnsi="Arial Narrow" w:cs="Helvetica"/>
                <w:bCs/>
                <w:i/>
                <w:sz w:val="22"/>
                <w:lang w:val="fr-FR"/>
              </w:rPr>
            </w:pPr>
            <w:r>
              <w:rPr>
                <w:rFonts w:ascii="Arial Narrow" w:hAnsi="Arial Narrow" w:cs="Helvetica"/>
                <w:bCs/>
                <w:i/>
                <w:sz w:val="22"/>
                <w:lang w:val="fr-FR"/>
              </w:rPr>
              <w:t xml:space="preserve">Évaluation : </w:t>
            </w:r>
          </w:p>
        </w:tc>
        <w:tc>
          <w:tcPr>
            <w:tcW w:w="8930" w:type="dxa"/>
          </w:tcPr>
          <w:p w:rsidR="00F2383A" w:rsidRPr="00674F2E" w:rsidRDefault="0024341F" w:rsidP="003D7BE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jc w:val="both"/>
              <w:rPr>
                <w:rFonts w:ascii="Arial Narrow" w:hAnsi="Arial Narrow" w:cs="Helvetica"/>
                <w:bCs/>
                <w:sz w:val="22"/>
                <w:szCs w:val="22"/>
              </w:rPr>
            </w:pPr>
            <w:r>
              <w:rPr>
                <w:rFonts w:ascii="Arial Narrow" w:hAnsi="Arial Narrow" w:cs="Helvetica"/>
                <w:bCs/>
                <w:sz w:val="22"/>
                <w:szCs w:val="22"/>
              </w:rPr>
              <w:t>Ce texte permet de survoler plusieurs projets d’importance ayant abordé la mobilité quotidienne des aînés. Toutefois, le processus de sélection de ces études n’est pas discuté. Outre l’étendu</w:t>
            </w:r>
            <w:r w:rsidR="00B90012">
              <w:rPr>
                <w:rFonts w:ascii="Arial Narrow" w:hAnsi="Arial Narrow" w:cs="Helvetica"/>
                <w:bCs/>
                <w:sz w:val="22"/>
                <w:szCs w:val="22"/>
              </w:rPr>
              <w:t>e</w:t>
            </w:r>
            <w:r>
              <w:rPr>
                <w:rFonts w:ascii="Arial Narrow" w:hAnsi="Arial Narrow" w:cs="Helvetica"/>
                <w:bCs/>
                <w:sz w:val="22"/>
                <w:szCs w:val="22"/>
              </w:rPr>
              <w:t xml:space="preserve"> et l’importance des projets de recherches, quels sont les critères de sélection ou d’exclusion. Est-ce vraiment tous les travaux de la dernière décennie ? </w:t>
            </w:r>
            <w:r w:rsidR="006A56D0">
              <w:rPr>
                <w:rFonts w:ascii="Arial Narrow" w:hAnsi="Arial Narrow" w:cs="Helvetica"/>
                <w:bCs/>
                <w:sz w:val="22"/>
                <w:szCs w:val="22"/>
              </w:rPr>
              <w:t xml:space="preserve">Les études mentionnées proviennent majoritairement des pays scandinaves. Il serait intéressant de voir la différence avec d’autres pays. Je pense notamment à </w:t>
            </w:r>
            <w:r>
              <w:rPr>
                <w:rFonts w:ascii="Arial Narrow" w:hAnsi="Arial Narrow" w:cs="Helvetica"/>
                <w:bCs/>
                <w:sz w:val="22"/>
                <w:szCs w:val="22"/>
              </w:rPr>
              <w:t>Lor</w:t>
            </w:r>
            <w:r w:rsidR="006A56D0">
              <w:rPr>
                <w:rFonts w:ascii="Arial Narrow" w:hAnsi="Arial Narrow" w:cs="Helvetica"/>
                <w:bCs/>
                <w:sz w:val="22"/>
                <w:szCs w:val="22"/>
              </w:rPr>
              <w:t xml:space="preserve">d (2009), portant également sur la mobilité quotidienne des aînés, mais au Québec. </w:t>
            </w:r>
          </w:p>
        </w:tc>
      </w:tr>
      <w:tr w:rsidR="0074439E" w:rsidTr="000777FA">
        <w:tc>
          <w:tcPr>
            <w:tcW w:w="1560" w:type="dxa"/>
          </w:tcPr>
          <w:p w:rsidR="0074439E" w:rsidRPr="0074439E" w:rsidRDefault="0074439E" w:rsidP="007443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Arial Narrow" w:hAnsi="Arial Narrow" w:cs="Helvetica"/>
                <w:bCs/>
                <w:i/>
                <w:sz w:val="28"/>
              </w:rPr>
            </w:pPr>
            <w:r w:rsidRPr="0074439E">
              <w:rPr>
                <w:rFonts w:ascii="Arial Narrow" w:hAnsi="Arial Narrow" w:cs="Helvetica"/>
                <w:bCs/>
                <w:i/>
                <w:sz w:val="22"/>
                <w:lang w:val="fr-FR"/>
              </w:rPr>
              <w:t xml:space="preserve">Pertinence </w:t>
            </w:r>
            <w:r>
              <w:rPr>
                <w:rFonts w:ascii="Arial Narrow" w:hAnsi="Arial Narrow" w:cs="Helvetica"/>
                <w:bCs/>
                <w:i/>
                <w:sz w:val="22"/>
                <w:lang w:val="fr-FR"/>
              </w:rPr>
              <w:t>pour ma recherche</w:t>
            </w:r>
            <w:r w:rsidRPr="0074439E">
              <w:rPr>
                <w:rFonts w:ascii="Arial Narrow" w:hAnsi="Arial Narrow" w:cs="Helvetica"/>
                <w:bCs/>
                <w:i/>
                <w:sz w:val="22"/>
                <w:lang w:val="fr-FR"/>
              </w:rPr>
              <w:t> :</w:t>
            </w:r>
          </w:p>
        </w:tc>
        <w:tc>
          <w:tcPr>
            <w:tcW w:w="8930" w:type="dxa"/>
          </w:tcPr>
          <w:p w:rsidR="0074439E" w:rsidRPr="00674F2E" w:rsidRDefault="00CF485A" w:rsidP="00BD4C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jc w:val="both"/>
              <w:rPr>
                <w:rFonts w:ascii="Arial Narrow" w:hAnsi="Arial Narrow" w:cs="Helvetica"/>
                <w:bCs/>
                <w:sz w:val="22"/>
                <w:szCs w:val="22"/>
              </w:rPr>
            </w:pPr>
            <w:proofErr w:type="spellStart"/>
            <w:r>
              <w:rPr>
                <w:rFonts w:ascii="Arial Narrow" w:hAnsi="Arial Narrow" w:cs="Helvetica"/>
                <w:bCs/>
                <w:sz w:val="22"/>
                <w:szCs w:val="22"/>
              </w:rPr>
              <w:t>Iwarsson</w:t>
            </w:r>
            <w:proofErr w:type="spellEnd"/>
            <w:r>
              <w:rPr>
                <w:rFonts w:ascii="Arial Narrow" w:hAnsi="Arial Narrow" w:cs="Helvetica"/>
                <w:bCs/>
                <w:sz w:val="22"/>
                <w:szCs w:val="22"/>
              </w:rPr>
              <w:t xml:space="preserve">, Stahl &amp; </w:t>
            </w:r>
            <w:proofErr w:type="spellStart"/>
            <w:r>
              <w:rPr>
                <w:rFonts w:ascii="Arial Narrow" w:hAnsi="Arial Narrow" w:cs="Helvetica"/>
                <w:bCs/>
                <w:sz w:val="22"/>
                <w:szCs w:val="22"/>
              </w:rPr>
              <w:t>Löfqvist</w:t>
            </w:r>
            <w:proofErr w:type="spellEnd"/>
            <w:r>
              <w:rPr>
                <w:rFonts w:ascii="Arial Narrow" w:hAnsi="Arial Narrow" w:cs="Helvetica"/>
                <w:bCs/>
                <w:sz w:val="22"/>
                <w:szCs w:val="22"/>
              </w:rPr>
              <w:t xml:space="preserve"> (2013) soulèvent plusieurs points importants et nécessaires au </w:t>
            </w:r>
            <w:r w:rsidR="00B90012">
              <w:rPr>
                <w:rFonts w:ascii="Arial Narrow" w:hAnsi="Arial Narrow" w:cs="Helvetica"/>
                <w:bCs/>
                <w:sz w:val="22"/>
                <w:szCs w:val="22"/>
              </w:rPr>
              <w:t>maintien</w:t>
            </w:r>
            <w:r>
              <w:rPr>
                <w:rFonts w:ascii="Arial Narrow" w:hAnsi="Arial Narrow" w:cs="Helvetica"/>
                <w:bCs/>
                <w:sz w:val="22"/>
                <w:szCs w:val="22"/>
              </w:rPr>
              <w:t xml:space="preserve"> de l’indépend</w:t>
            </w:r>
            <w:r w:rsidR="00BD4C7C">
              <w:rPr>
                <w:rFonts w:ascii="Arial Narrow" w:hAnsi="Arial Narrow" w:cs="Helvetica"/>
                <w:bCs/>
                <w:sz w:val="22"/>
                <w:szCs w:val="22"/>
              </w:rPr>
              <w:t>ance chez les personnes âgées en perte d’autonomie</w:t>
            </w:r>
            <w:r>
              <w:rPr>
                <w:rFonts w:ascii="Arial Narrow" w:hAnsi="Arial Narrow" w:cs="Helvetica"/>
                <w:bCs/>
                <w:sz w:val="22"/>
                <w:szCs w:val="22"/>
              </w:rPr>
              <w:t>. En effet, malgré certaines incapacités, il serait possible pour eux de demeurer indépendants dans la communauté s’ils étaient capables de se déplacer convenablement. D’où l’importance d’un environnement supportant la mobilité de tous, mais particulièrement des aînés vulnérable</w:t>
            </w:r>
            <w:r w:rsidR="00B90012">
              <w:rPr>
                <w:rFonts w:ascii="Arial Narrow" w:hAnsi="Arial Narrow" w:cs="Helvetica"/>
                <w:bCs/>
                <w:sz w:val="22"/>
                <w:szCs w:val="22"/>
              </w:rPr>
              <w:t>s</w:t>
            </w:r>
            <w:r>
              <w:rPr>
                <w:rFonts w:ascii="Arial Narrow" w:hAnsi="Arial Narrow" w:cs="Helvetica"/>
                <w:bCs/>
                <w:sz w:val="22"/>
                <w:szCs w:val="22"/>
              </w:rPr>
              <w:t xml:space="preserve">. </w:t>
            </w:r>
            <w:r w:rsidR="00BD4C7C">
              <w:rPr>
                <w:rFonts w:ascii="Arial Narrow" w:hAnsi="Arial Narrow" w:cs="Helvetica"/>
                <w:bCs/>
                <w:sz w:val="22"/>
                <w:szCs w:val="22"/>
              </w:rPr>
              <w:t xml:space="preserve">Certains éléments du </w:t>
            </w:r>
            <w:r w:rsidR="00B90012">
              <w:rPr>
                <w:rFonts w:ascii="Arial Narrow" w:hAnsi="Arial Narrow" w:cs="Helvetica"/>
                <w:bCs/>
                <w:sz w:val="22"/>
                <w:szCs w:val="22"/>
              </w:rPr>
              <w:t>bâti</w:t>
            </w:r>
            <w:r w:rsidR="00BD4C7C">
              <w:rPr>
                <w:rFonts w:ascii="Arial Narrow" w:hAnsi="Arial Narrow" w:cs="Helvetica"/>
                <w:bCs/>
                <w:sz w:val="22"/>
                <w:szCs w:val="22"/>
              </w:rPr>
              <w:t xml:space="preserve"> comme le trafic, les parements inégaux et les mauvaises conditions des trottoirs peuvent gran</w:t>
            </w:r>
            <w:r w:rsidR="00B90012">
              <w:rPr>
                <w:rFonts w:ascii="Arial Narrow" w:hAnsi="Arial Narrow" w:cs="Helvetica"/>
                <w:bCs/>
                <w:sz w:val="22"/>
                <w:szCs w:val="22"/>
              </w:rPr>
              <w:t>d</w:t>
            </w:r>
            <w:r w:rsidR="00BD4C7C">
              <w:rPr>
                <w:rFonts w:ascii="Arial Narrow" w:hAnsi="Arial Narrow" w:cs="Helvetica"/>
                <w:bCs/>
                <w:sz w:val="22"/>
                <w:szCs w:val="22"/>
              </w:rPr>
              <w:t xml:space="preserve">ement </w:t>
            </w:r>
            <w:r w:rsidR="00B90012">
              <w:rPr>
                <w:rFonts w:ascii="Arial Narrow" w:hAnsi="Arial Narrow" w:cs="Helvetica"/>
                <w:bCs/>
                <w:sz w:val="22"/>
                <w:szCs w:val="22"/>
              </w:rPr>
              <w:t>affecter</w:t>
            </w:r>
            <w:r w:rsidR="00BD4C7C">
              <w:rPr>
                <w:rFonts w:ascii="Arial Narrow" w:hAnsi="Arial Narrow" w:cs="Helvetica"/>
                <w:bCs/>
                <w:sz w:val="22"/>
                <w:szCs w:val="22"/>
              </w:rPr>
              <w:t xml:space="preserve"> les déplacements des aînés. Toutefois, certaines pressions sociales peuvent également limiter leur mobilité, comme le sentiment d’être un obstacle à la mobilité des autres.</w:t>
            </w:r>
          </w:p>
        </w:tc>
      </w:tr>
      <w:tr w:rsidR="00AB3035" w:rsidTr="000777FA">
        <w:tc>
          <w:tcPr>
            <w:tcW w:w="1560" w:type="dxa"/>
          </w:tcPr>
          <w:p w:rsidR="00AB3035" w:rsidRPr="0074439E" w:rsidRDefault="00AB3035" w:rsidP="007443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Arial Narrow" w:hAnsi="Arial Narrow" w:cs="Helvetica"/>
                <w:bCs/>
                <w:i/>
                <w:sz w:val="22"/>
                <w:lang w:val="fr-FR"/>
              </w:rPr>
            </w:pPr>
            <w:r>
              <w:rPr>
                <w:rFonts w:ascii="Arial Narrow" w:hAnsi="Arial Narrow" w:cs="Helvetica"/>
                <w:bCs/>
                <w:i/>
                <w:sz w:val="22"/>
                <w:lang w:val="fr-FR"/>
              </w:rPr>
              <w:t xml:space="preserve">Méthodologie : </w:t>
            </w:r>
          </w:p>
        </w:tc>
        <w:tc>
          <w:tcPr>
            <w:tcW w:w="8930" w:type="dxa"/>
          </w:tcPr>
          <w:p w:rsidR="00AB3035" w:rsidRPr="00674F2E" w:rsidRDefault="0024341F" w:rsidP="00A9208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jc w:val="both"/>
              <w:rPr>
                <w:rFonts w:ascii="Arial Narrow" w:hAnsi="Arial Narrow" w:cs="Helvetica"/>
                <w:bCs/>
                <w:sz w:val="22"/>
                <w:szCs w:val="22"/>
              </w:rPr>
            </w:pPr>
            <w:r>
              <w:rPr>
                <w:rFonts w:ascii="Arial Narrow" w:hAnsi="Arial Narrow" w:cs="Helvetica"/>
                <w:bCs/>
                <w:sz w:val="22"/>
                <w:szCs w:val="22"/>
              </w:rPr>
              <w:t>***</w:t>
            </w:r>
          </w:p>
        </w:tc>
      </w:tr>
      <w:tr w:rsidR="00AB3035" w:rsidTr="000777FA">
        <w:tc>
          <w:tcPr>
            <w:tcW w:w="1560" w:type="dxa"/>
          </w:tcPr>
          <w:p w:rsidR="00AB3035" w:rsidRPr="0074439E" w:rsidRDefault="00B14AE4" w:rsidP="007443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Arial Narrow" w:hAnsi="Arial Narrow" w:cs="Helvetica"/>
                <w:bCs/>
                <w:i/>
                <w:sz w:val="22"/>
                <w:lang w:val="fr-FR"/>
              </w:rPr>
            </w:pPr>
            <w:r>
              <w:rPr>
                <w:rFonts w:ascii="Arial Narrow" w:hAnsi="Arial Narrow" w:cs="Helvetica"/>
                <w:bCs/>
                <w:i/>
                <w:sz w:val="22"/>
                <w:lang w:val="fr-FR"/>
              </w:rPr>
              <w:t>Argumentation</w:t>
            </w:r>
            <w:r w:rsidR="00AB3035">
              <w:rPr>
                <w:rFonts w:ascii="Arial Narrow" w:hAnsi="Arial Narrow" w:cs="Helvetica"/>
                <w:bCs/>
                <w:i/>
                <w:sz w:val="22"/>
                <w:lang w:val="fr-FR"/>
              </w:rPr>
              <w:t xml:space="preserve"> : </w:t>
            </w:r>
          </w:p>
        </w:tc>
        <w:tc>
          <w:tcPr>
            <w:tcW w:w="8930" w:type="dxa"/>
          </w:tcPr>
          <w:p w:rsidR="00AB3035" w:rsidRPr="00674F2E" w:rsidRDefault="0024341F" w:rsidP="00A9208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jc w:val="both"/>
              <w:rPr>
                <w:rFonts w:ascii="Arial Narrow" w:hAnsi="Arial Narrow" w:cs="Helvetica"/>
                <w:bCs/>
                <w:sz w:val="22"/>
                <w:szCs w:val="22"/>
              </w:rPr>
            </w:pPr>
            <w:r>
              <w:rPr>
                <w:rFonts w:ascii="Arial Narrow" w:hAnsi="Arial Narrow" w:cs="Helvetica"/>
                <w:bCs/>
                <w:sz w:val="22"/>
                <w:szCs w:val="22"/>
              </w:rPr>
              <w:t>****</w:t>
            </w:r>
          </w:p>
        </w:tc>
      </w:tr>
      <w:tr w:rsidR="0074439E" w:rsidTr="000777FA">
        <w:tc>
          <w:tcPr>
            <w:tcW w:w="1560" w:type="dxa"/>
            <w:shd w:val="clear" w:color="auto" w:fill="BFBFBF" w:themeFill="background1" w:themeFillShade="BF"/>
          </w:tcPr>
          <w:p w:rsidR="0074439E" w:rsidRPr="0074439E" w:rsidRDefault="0074439E" w:rsidP="00674F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Arial Narrow" w:hAnsi="Arial Narrow" w:cs="Helvetica"/>
                <w:bCs/>
                <w:i/>
                <w:sz w:val="22"/>
                <w:lang w:val="fr-FR"/>
              </w:rPr>
            </w:pPr>
            <w:r w:rsidRPr="0074439E">
              <w:rPr>
                <w:rFonts w:ascii="Arial Narrow" w:hAnsi="Arial Narrow" w:cs="Helvetica"/>
                <w:b/>
                <w:bCs/>
                <w:i/>
                <w:sz w:val="22"/>
                <w:lang w:val="fr-FR"/>
              </w:rPr>
              <w:t>Mots-clés</w:t>
            </w:r>
            <w:r w:rsidRPr="0074439E">
              <w:rPr>
                <w:rFonts w:ascii="Arial Narrow" w:hAnsi="Arial Narrow" w:cs="Helvetica"/>
                <w:bCs/>
                <w:i/>
                <w:sz w:val="22"/>
                <w:lang w:val="fr-FR"/>
              </w:rPr>
              <w:t> :</w:t>
            </w:r>
          </w:p>
        </w:tc>
        <w:tc>
          <w:tcPr>
            <w:tcW w:w="8930" w:type="dxa"/>
          </w:tcPr>
          <w:p w:rsidR="00D922AD" w:rsidRPr="003E5BCF" w:rsidRDefault="00D922AD" w:rsidP="00D922A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Narrow" w:hAnsi="Arial Narrow"/>
                <w:sz w:val="22"/>
                <w:szCs w:val="22"/>
              </w:rPr>
            </w:pPr>
            <w:r>
              <w:rPr>
                <w:rFonts w:ascii="Arial Narrow" w:hAnsi="Arial Narrow" w:cs="Helvetica"/>
                <w:sz w:val="22"/>
                <w:szCs w:val="22"/>
                <w:lang w:val="fr-FR"/>
              </w:rPr>
              <w:t>Mobilité extérieure, barrières physiques, barrières sociales, accessoires d’aide à la mobilité, aînés en perte d’autonomie</w:t>
            </w:r>
            <w:r w:rsidR="00BD4C7C">
              <w:rPr>
                <w:rFonts w:ascii="Arial Narrow" w:hAnsi="Arial Narrow" w:cs="Helvetica"/>
                <w:sz w:val="22"/>
                <w:szCs w:val="22"/>
                <w:lang w:val="fr-FR"/>
              </w:rPr>
              <w:t>, facteurs</w:t>
            </w:r>
          </w:p>
          <w:p w:rsidR="0074439E" w:rsidRPr="00674F2E" w:rsidRDefault="0074439E" w:rsidP="00F657E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jc w:val="both"/>
              <w:rPr>
                <w:rFonts w:ascii="Arial Narrow" w:hAnsi="Arial Narrow" w:cs="Helvetica"/>
                <w:bCs/>
                <w:sz w:val="22"/>
                <w:szCs w:val="22"/>
              </w:rPr>
            </w:pPr>
          </w:p>
        </w:tc>
      </w:tr>
      <w:tr w:rsidR="0074439E" w:rsidTr="000777FA">
        <w:tc>
          <w:tcPr>
            <w:tcW w:w="1560" w:type="dxa"/>
          </w:tcPr>
          <w:p w:rsidR="0074439E" w:rsidRPr="0074439E" w:rsidRDefault="0074439E" w:rsidP="005573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Arial Narrow" w:hAnsi="Arial Narrow" w:cs="Helvetica"/>
                <w:b/>
                <w:bCs/>
                <w:i/>
                <w:sz w:val="22"/>
                <w:lang w:val="fr-FR"/>
              </w:rPr>
            </w:pPr>
          </w:p>
        </w:tc>
        <w:tc>
          <w:tcPr>
            <w:tcW w:w="8930" w:type="dxa"/>
          </w:tcPr>
          <w:p w:rsidR="0074439E" w:rsidRDefault="0074439E" w:rsidP="005573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jc w:val="both"/>
              <w:rPr>
                <w:rFonts w:ascii="Arial Narrow" w:hAnsi="Arial Narrow" w:cs="Helvetica"/>
                <w:b/>
                <w:bCs/>
                <w:sz w:val="28"/>
              </w:rPr>
            </w:pPr>
          </w:p>
        </w:tc>
      </w:tr>
    </w:tbl>
    <w:p w:rsidR="00476ACD" w:rsidRPr="000D0D7F" w:rsidRDefault="00476ACD" w:rsidP="005573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jc w:val="both"/>
        <w:rPr>
          <w:rFonts w:ascii="Arial Narrow" w:hAnsi="Arial Narrow" w:cs="Helvetica"/>
          <w:b/>
          <w:bCs/>
          <w:sz w:val="28"/>
        </w:rPr>
      </w:pPr>
    </w:p>
    <w:p w:rsidR="00E719DA" w:rsidRPr="000D0D7F" w:rsidRDefault="00E719DA" w:rsidP="00557306">
      <w:pPr>
        <w:spacing w:line="276" w:lineRule="auto"/>
        <w:jc w:val="both"/>
        <w:rPr>
          <w:rFonts w:ascii="Arial Narrow" w:hAnsi="Arial Narrow"/>
          <w:sz w:val="22"/>
        </w:rPr>
      </w:pPr>
    </w:p>
    <w:sectPr w:rsidR="00E719DA" w:rsidRPr="000D0D7F" w:rsidSect="00997685">
      <w:pgSz w:w="12240" w:h="15840"/>
      <w:pgMar w:top="851" w:right="851" w:bottom="851" w:left="851" w:header="720" w:footer="72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4F1402"/>
    <w:multiLevelType w:val="hybridMultilevel"/>
    <w:tmpl w:val="8EDE830E"/>
    <w:lvl w:ilvl="0" w:tplc="9C98E48C">
      <w:start w:val="1"/>
      <w:numFmt w:val="bullet"/>
      <w:suff w:val="space"/>
      <w:lvlText w:val=""/>
      <w:lvlJc w:val="left"/>
      <w:pPr>
        <w:ind w:left="0" w:firstLine="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nsid w:val="19F74E50"/>
    <w:multiLevelType w:val="hybridMultilevel"/>
    <w:tmpl w:val="ECA87244"/>
    <w:lvl w:ilvl="0" w:tplc="8628301C">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
    <w:nsid w:val="215E43B1"/>
    <w:multiLevelType w:val="hybridMultilevel"/>
    <w:tmpl w:val="8348ECB2"/>
    <w:lvl w:ilvl="0" w:tplc="36A4BA9E">
      <w:start w:val="1"/>
      <w:numFmt w:val="bullet"/>
      <w:suff w:val="space"/>
      <w:lvlText w:val=""/>
      <w:lvlJc w:val="left"/>
      <w:pPr>
        <w:ind w:left="0" w:firstLine="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nsid w:val="22415479"/>
    <w:multiLevelType w:val="hybridMultilevel"/>
    <w:tmpl w:val="F4923B5C"/>
    <w:lvl w:ilvl="0" w:tplc="0C0C0005">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nsid w:val="22D16227"/>
    <w:multiLevelType w:val="hybridMultilevel"/>
    <w:tmpl w:val="CD027458"/>
    <w:lvl w:ilvl="0" w:tplc="0C0C0005">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nsid w:val="3A9D4CD7"/>
    <w:multiLevelType w:val="hybridMultilevel"/>
    <w:tmpl w:val="B1408500"/>
    <w:lvl w:ilvl="0" w:tplc="9536C066">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6">
    <w:nsid w:val="414F4428"/>
    <w:multiLevelType w:val="hybridMultilevel"/>
    <w:tmpl w:val="EF38CC36"/>
    <w:lvl w:ilvl="0" w:tplc="7FC049FE">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7">
    <w:nsid w:val="6236104A"/>
    <w:multiLevelType w:val="hybridMultilevel"/>
    <w:tmpl w:val="FE6E8C4C"/>
    <w:lvl w:ilvl="0" w:tplc="DFFA316A">
      <w:start w:val="1"/>
      <w:numFmt w:val="decimal"/>
      <w:suff w:val="space"/>
      <w:lvlText w:val="(%1)"/>
      <w:lvlJc w:val="left"/>
      <w:pPr>
        <w:ind w:left="0" w:firstLine="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8">
    <w:nsid w:val="627D26DD"/>
    <w:multiLevelType w:val="hybridMultilevel"/>
    <w:tmpl w:val="D4FC4460"/>
    <w:lvl w:ilvl="0" w:tplc="E9B2F184">
      <w:start w:val="1"/>
      <w:numFmt w:val="decimal"/>
      <w:suff w:val="space"/>
      <w:lvlText w:val="(%1)"/>
      <w:lvlJc w:val="left"/>
      <w:pPr>
        <w:ind w:left="0" w:firstLine="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9">
    <w:nsid w:val="76A73457"/>
    <w:multiLevelType w:val="hybridMultilevel"/>
    <w:tmpl w:val="2A1CC26E"/>
    <w:lvl w:ilvl="0" w:tplc="7ABC155E">
      <w:start w:val="1"/>
      <w:numFmt w:val="bullet"/>
      <w:suff w:val="space"/>
      <w:lvlText w:val=""/>
      <w:lvlJc w:val="left"/>
      <w:pPr>
        <w:ind w:left="0" w:firstLine="0"/>
      </w:pPr>
      <w:rPr>
        <w:rFonts w:ascii="Symbol" w:hAnsi="Symbol" w:hint="default"/>
      </w:rPr>
    </w:lvl>
    <w:lvl w:ilvl="1" w:tplc="0C0C0003" w:tentative="1">
      <w:start w:val="1"/>
      <w:numFmt w:val="bullet"/>
      <w:lvlText w:val="o"/>
      <w:lvlJc w:val="left"/>
      <w:pPr>
        <w:ind w:left="1490" w:hanging="360"/>
      </w:pPr>
      <w:rPr>
        <w:rFonts w:ascii="Courier New" w:hAnsi="Courier New" w:cs="Courier New" w:hint="default"/>
      </w:rPr>
    </w:lvl>
    <w:lvl w:ilvl="2" w:tplc="0C0C0005" w:tentative="1">
      <w:start w:val="1"/>
      <w:numFmt w:val="bullet"/>
      <w:lvlText w:val=""/>
      <w:lvlJc w:val="left"/>
      <w:pPr>
        <w:ind w:left="2210" w:hanging="360"/>
      </w:pPr>
      <w:rPr>
        <w:rFonts w:ascii="Wingdings" w:hAnsi="Wingdings" w:hint="default"/>
      </w:rPr>
    </w:lvl>
    <w:lvl w:ilvl="3" w:tplc="0C0C0001" w:tentative="1">
      <w:start w:val="1"/>
      <w:numFmt w:val="bullet"/>
      <w:lvlText w:val=""/>
      <w:lvlJc w:val="left"/>
      <w:pPr>
        <w:ind w:left="2930" w:hanging="360"/>
      </w:pPr>
      <w:rPr>
        <w:rFonts w:ascii="Symbol" w:hAnsi="Symbol" w:hint="default"/>
      </w:rPr>
    </w:lvl>
    <w:lvl w:ilvl="4" w:tplc="0C0C0003" w:tentative="1">
      <w:start w:val="1"/>
      <w:numFmt w:val="bullet"/>
      <w:lvlText w:val="o"/>
      <w:lvlJc w:val="left"/>
      <w:pPr>
        <w:ind w:left="3650" w:hanging="360"/>
      </w:pPr>
      <w:rPr>
        <w:rFonts w:ascii="Courier New" w:hAnsi="Courier New" w:cs="Courier New" w:hint="default"/>
      </w:rPr>
    </w:lvl>
    <w:lvl w:ilvl="5" w:tplc="0C0C0005" w:tentative="1">
      <w:start w:val="1"/>
      <w:numFmt w:val="bullet"/>
      <w:lvlText w:val=""/>
      <w:lvlJc w:val="left"/>
      <w:pPr>
        <w:ind w:left="4370" w:hanging="360"/>
      </w:pPr>
      <w:rPr>
        <w:rFonts w:ascii="Wingdings" w:hAnsi="Wingdings" w:hint="default"/>
      </w:rPr>
    </w:lvl>
    <w:lvl w:ilvl="6" w:tplc="0C0C0001" w:tentative="1">
      <w:start w:val="1"/>
      <w:numFmt w:val="bullet"/>
      <w:lvlText w:val=""/>
      <w:lvlJc w:val="left"/>
      <w:pPr>
        <w:ind w:left="5090" w:hanging="360"/>
      </w:pPr>
      <w:rPr>
        <w:rFonts w:ascii="Symbol" w:hAnsi="Symbol" w:hint="default"/>
      </w:rPr>
    </w:lvl>
    <w:lvl w:ilvl="7" w:tplc="0C0C0003" w:tentative="1">
      <w:start w:val="1"/>
      <w:numFmt w:val="bullet"/>
      <w:lvlText w:val="o"/>
      <w:lvlJc w:val="left"/>
      <w:pPr>
        <w:ind w:left="5810" w:hanging="360"/>
      </w:pPr>
      <w:rPr>
        <w:rFonts w:ascii="Courier New" w:hAnsi="Courier New" w:cs="Courier New" w:hint="default"/>
      </w:rPr>
    </w:lvl>
    <w:lvl w:ilvl="8" w:tplc="0C0C0005" w:tentative="1">
      <w:start w:val="1"/>
      <w:numFmt w:val="bullet"/>
      <w:lvlText w:val=""/>
      <w:lvlJc w:val="left"/>
      <w:pPr>
        <w:ind w:left="6530" w:hanging="360"/>
      </w:pPr>
      <w:rPr>
        <w:rFonts w:ascii="Wingdings" w:hAnsi="Wingdings" w:hint="default"/>
      </w:rPr>
    </w:lvl>
  </w:abstractNum>
  <w:abstractNum w:abstractNumId="10">
    <w:nsid w:val="77861E44"/>
    <w:multiLevelType w:val="hybridMultilevel"/>
    <w:tmpl w:val="1D06CD1C"/>
    <w:lvl w:ilvl="0" w:tplc="CAA00F58">
      <w:start w:val="1"/>
      <w:numFmt w:val="bullet"/>
      <w:suff w:val="space"/>
      <w:lvlText w:val=""/>
      <w:lvlJc w:val="left"/>
      <w:pPr>
        <w:ind w:left="0" w:firstLine="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7"/>
  </w:num>
  <w:num w:numId="4">
    <w:abstractNumId w:val="8"/>
  </w:num>
  <w:num w:numId="5">
    <w:abstractNumId w:val="9"/>
  </w:num>
  <w:num w:numId="6">
    <w:abstractNumId w:val="4"/>
  </w:num>
  <w:num w:numId="7">
    <w:abstractNumId w:val="3"/>
  </w:num>
  <w:num w:numId="8">
    <w:abstractNumId w:val="0"/>
  </w:num>
  <w:num w:numId="9">
    <w:abstractNumId w:val="5"/>
  </w:num>
  <w:num w:numId="10">
    <w:abstractNumId w:val="2"/>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6289"/>
    <w:rsid w:val="00063509"/>
    <w:rsid w:val="000650F2"/>
    <w:rsid w:val="000777FA"/>
    <w:rsid w:val="000845A6"/>
    <w:rsid w:val="00093E3F"/>
    <w:rsid w:val="00096DD9"/>
    <w:rsid w:val="000A6F4A"/>
    <w:rsid w:val="000C23D1"/>
    <w:rsid w:val="000D0747"/>
    <w:rsid w:val="000D0D7F"/>
    <w:rsid w:val="000D467D"/>
    <w:rsid w:val="00137E67"/>
    <w:rsid w:val="001F33BB"/>
    <w:rsid w:val="002234CD"/>
    <w:rsid w:val="0024341F"/>
    <w:rsid w:val="00246D83"/>
    <w:rsid w:val="00261AE3"/>
    <w:rsid w:val="00273CB2"/>
    <w:rsid w:val="002B149A"/>
    <w:rsid w:val="002C6BD6"/>
    <w:rsid w:val="002E2F98"/>
    <w:rsid w:val="002E3E5A"/>
    <w:rsid w:val="002F0157"/>
    <w:rsid w:val="002F1F31"/>
    <w:rsid w:val="00326482"/>
    <w:rsid w:val="00331268"/>
    <w:rsid w:val="003A07B3"/>
    <w:rsid w:val="003A3469"/>
    <w:rsid w:val="003A4A36"/>
    <w:rsid w:val="003C0044"/>
    <w:rsid w:val="003C57BC"/>
    <w:rsid w:val="003D4E8A"/>
    <w:rsid w:val="003D4F6C"/>
    <w:rsid w:val="003D7BE9"/>
    <w:rsid w:val="003F32D0"/>
    <w:rsid w:val="003F7050"/>
    <w:rsid w:val="0041197B"/>
    <w:rsid w:val="0042252D"/>
    <w:rsid w:val="004526D6"/>
    <w:rsid w:val="004572E3"/>
    <w:rsid w:val="0047291B"/>
    <w:rsid w:val="00473556"/>
    <w:rsid w:val="00476ACD"/>
    <w:rsid w:val="004B1A96"/>
    <w:rsid w:val="004C34C2"/>
    <w:rsid w:val="00530E3D"/>
    <w:rsid w:val="00537E28"/>
    <w:rsid w:val="005506D1"/>
    <w:rsid w:val="00557306"/>
    <w:rsid w:val="0059386B"/>
    <w:rsid w:val="005974CB"/>
    <w:rsid w:val="005D0141"/>
    <w:rsid w:val="005F315A"/>
    <w:rsid w:val="006455B8"/>
    <w:rsid w:val="00674F2E"/>
    <w:rsid w:val="006A21BF"/>
    <w:rsid w:val="006A56D0"/>
    <w:rsid w:val="006C050B"/>
    <w:rsid w:val="006E1411"/>
    <w:rsid w:val="006E4505"/>
    <w:rsid w:val="00703E5F"/>
    <w:rsid w:val="0070517C"/>
    <w:rsid w:val="007141D1"/>
    <w:rsid w:val="007159C0"/>
    <w:rsid w:val="007252E6"/>
    <w:rsid w:val="0074439E"/>
    <w:rsid w:val="0075504B"/>
    <w:rsid w:val="00765334"/>
    <w:rsid w:val="0077386D"/>
    <w:rsid w:val="007766D0"/>
    <w:rsid w:val="0079526A"/>
    <w:rsid w:val="007A1AA6"/>
    <w:rsid w:val="00812CC9"/>
    <w:rsid w:val="0084185D"/>
    <w:rsid w:val="008655F0"/>
    <w:rsid w:val="008A39BE"/>
    <w:rsid w:val="008A7521"/>
    <w:rsid w:val="008D0B81"/>
    <w:rsid w:val="008E77B8"/>
    <w:rsid w:val="009057D7"/>
    <w:rsid w:val="00907053"/>
    <w:rsid w:val="009217CA"/>
    <w:rsid w:val="00930132"/>
    <w:rsid w:val="00965AF9"/>
    <w:rsid w:val="00997685"/>
    <w:rsid w:val="009A75C5"/>
    <w:rsid w:val="009B0B88"/>
    <w:rsid w:val="009C03E5"/>
    <w:rsid w:val="009E623A"/>
    <w:rsid w:val="009F6CC9"/>
    <w:rsid w:val="00A12DBC"/>
    <w:rsid w:val="00A238E9"/>
    <w:rsid w:val="00A52C0A"/>
    <w:rsid w:val="00A66289"/>
    <w:rsid w:val="00A75FAF"/>
    <w:rsid w:val="00A8592D"/>
    <w:rsid w:val="00A912E0"/>
    <w:rsid w:val="00A9208E"/>
    <w:rsid w:val="00AB3035"/>
    <w:rsid w:val="00AB77F1"/>
    <w:rsid w:val="00B05E94"/>
    <w:rsid w:val="00B14AE4"/>
    <w:rsid w:val="00B240E5"/>
    <w:rsid w:val="00B30E72"/>
    <w:rsid w:val="00B54B56"/>
    <w:rsid w:val="00B676B4"/>
    <w:rsid w:val="00B704AA"/>
    <w:rsid w:val="00B90012"/>
    <w:rsid w:val="00BB2166"/>
    <w:rsid w:val="00BB3AD6"/>
    <w:rsid w:val="00BC2582"/>
    <w:rsid w:val="00BD4C7C"/>
    <w:rsid w:val="00C070F4"/>
    <w:rsid w:val="00C20BF6"/>
    <w:rsid w:val="00C34A41"/>
    <w:rsid w:val="00C75DE2"/>
    <w:rsid w:val="00CA4EF7"/>
    <w:rsid w:val="00CB0C65"/>
    <w:rsid w:val="00CD6466"/>
    <w:rsid w:val="00CF485A"/>
    <w:rsid w:val="00D06ACB"/>
    <w:rsid w:val="00D16A4D"/>
    <w:rsid w:val="00D22CD8"/>
    <w:rsid w:val="00D56AA5"/>
    <w:rsid w:val="00D922AD"/>
    <w:rsid w:val="00D97231"/>
    <w:rsid w:val="00DC6C4E"/>
    <w:rsid w:val="00DD086B"/>
    <w:rsid w:val="00DE0721"/>
    <w:rsid w:val="00DE4A6C"/>
    <w:rsid w:val="00E65DF0"/>
    <w:rsid w:val="00E719DA"/>
    <w:rsid w:val="00E76612"/>
    <w:rsid w:val="00E85F39"/>
    <w:rsid w:val="00EA097F"/>
    <w:rsid w:val="00ED731F"/>
    <w:rsid w:val="00EE3723"/>
    <w:rsid w:val="00F129B3"/>
    <w:rsid w:val="00F23057"/>
    <w:rsid w:val="00F2383A"/>
    <w:rsid w:val="00F657EE"/>
    <w:rsid w:val="00F76624"/>
    <w:rsid w:val="00F87811"/>
    <w:rsid w:val="00FB4749"/>
    <w:rsid w:val="00FF2F1B"/>
  </w:rsids>
  <m:mathPr>
    <m:mathFont m:val="Cambria Math"/>
    <m:brkBin m:val="before"/>
    <m:brkBinSub m:val="--"/>
    <m:smallFrac/>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0E220EBD-D301-465C-803E-E3CF10ECAA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GB"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fr-C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Lgende">
    <w:name w:val="caption"/>
    <w:basedOn w:val="Normal"/>
    <w:next w:val="Normal"/>
    <w:uiPriority w:val="35"/>
    <w:unhideWhenUsed/>
    <w:qFormat/>
    <w:rsid w:val="00907053"/>
    <w:pPr>
      <w:spacing w:after="200"/>
    </w:pPr>
    <w:rPr>
      <w:rFonts w:ascii="Times New Roman" w:hAnsi="Times New Roman"/>
      <w:b/>
      <w:bCs/>
      <w:sz w:val="18"/>
      <w:szCs w:val="18"/>
    </w:rPr>
  </w:style>
  <w:style w:type="table" w:styleId="Grilledutableau">
    <w:name w:val="Table Grid"/>
    <w:basedOn w:val="TableauNormal"/>
    <w:uiPriority w:val="59"/>
    <w:rsid w:val="00476A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530E3D"/>
    <w:pPr>
      <w:ind w:left="720"/>
      <w:contextualSpacing/>
    </w:pPr>
  </w:style>
  <w:style w:type="paragraph" w:customStyle="1" w:styleId="EndNoteBibliography">
    <w:name w:val="EndNote Bibliography"/>
    <w:basedOn w:val="Normal"/>
    <w:link w:val="EndNoteBibliographyCar"/>
    <w:rsid w:val="00B54B56"/>
    <w:pPr>
      <w:spacing w:after="160"/>
      <w:jc w:val="right"/>
    </w:pPr>
    <w:rPr>
      <w:rFonts w:ascii="Calibri" w:eastAsiaTheme="minorHAnsi" w:hAnsi="Calibri"/>
      <w:noProof/>
      <w:sz w:val="22"/>
      <w:szCs w:val="22"/>
      <w:lang w:val="en-US" w:eastAsia="en-US"/>
    </w:rPr>
  </w:style>
  <w:style w:type="character" w:customStyle="1" w:styleId="EndNoteBibliographyCar">
    <w:name w:val="EndNote Bibliography Car"/>
    <w:basedOn w:val="Policepardfaut"/>
    <w:link w:val="EndNoteBibliography"/>
    <w:rsid w:val="00B54B56"/>
    <w:rPr>
      <w:rFonts w:ascii="Calibri" w:eastAsiaTheme="minorHAnsi" w:hAnsi="Calibri"/>
      <w:noProof/>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2</Pages>
  <Words>1074</Words>
  <Characters>5912</Characters>
  <Application>Microsoft Office Word</Application>
  <DocSecurity>0</DocSecurity>
  <Lines>49</Lines>
  <Paragraphs>13</Paragraphs>
  <ScaleCrop>false</ScaleCrop>
  <HeadingPairs>
    <vt:vector size="2" baseType="variant">
      <vt:variant>
        <vt:lpstr>Titre</vt:lpstr>
      </vt:variant>
      <vt:variant>
        <vt:i4>1</vt:i4>
      </vt:variant>
    </vt:vector>
  </HeadingPairs>
  <TitlesOfParts>
    <vt:vector size="1" baseType="lpstr">
      <vt:lpstr/>
    </vt:vector>
  </TitlesOfParts>
  <Company>Université de Montréal</Company>
  <LinksUpToDate>false</LinksUpToDate>
  <CharactersWithSpaces>6973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Roxanne Dubé</dc:creator>
  <cp:keywords/>
  <dc:description/>
  <cp:lastModifiedBy>Admin</cp:lastModifiedBy>
  <cp:revision>8</cp:revision>
  <dcterms:created xsi:type="dcterms:W3CDTF">2015-02-10T04:57:00Z</dcterms:created>
  <dcterms:modified xsi:type="dcterms:W3CDTF">2015-02-11T03:11:00Z</dcterms:modified>
</cp:coreProperties>
</file>