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AA" w:rsidRPr="00F179AA" w:rsidRDefault="00F179AA" w:rsidP="00F179AA">
      <w:pPr>
        <w:pStyle w:val="NormalWeb"/>
        <w:shd w:val="clear" w:color="auto" w:fill="FFFFFF"/>
        <w:spacing w:before="0" w:after="0" w:afterAutospacing="0" w:line="375" w:lineRule="atLeast"/>
        <w:rPr>
          <w:rFonts w:ascii="Arial" w:hAnsi="Arial" w:cs="Arial"/>
          <w:color w:val="333333"/>
        </w:rPr>
      </w:pPr>
      <w:r w:rsidRPr="00F179AA">
        <w:rPr>
          <w:rFonts w:ascii="Arial" w:hAnsi="Arial" w:cs="Arial"/>
          <w:b/>
          <w:bCs/>
          <w:color w:val="333333"/>
        </w:rPr>
        <w:t>COMO LAS EXPIDE?</w:t>
      </w:r>
      <w:r w:rsidRPr="00F179AA">
        <w:rPr>
          <w:rStyle w:val="apple-converted-space"/>
          <w:rFonts w:ascii="Arial" w:hAnsi="Arial" w:cs="Arial"/>
          <w:b/>
          <w:bCs/>
          <w:color w:val="333333"/>
        </w:rPr>
        <w:t> </w:t>
      </w:r>
      <w:r w:rsidRPr="00F179AA">
        <w:rPr>
          <w:rFonts w:ascii="Arial" w:hAnsi="Arial" w:cs="Arial"/>
          <w:b/>
          <w:bCs/>
          <w:color w:val="333333"/>
        </w:rPr>
        <w:br/>
      </w:r>
      <w:r w:rsidRPr="00F179AA">
        <w:rPr>
          <w:rFonts w:ascii="Arial" w:hAnsi="Arial" w:cs="Arial"/>
          <w:color w:val="333333"/>
        </w:rPr>
        <w:t> </w:t>
      </w:r>
      <w:r w:rsidRPr="00F179AA">
        <w:rPr>
          <w:rStyle w:val="apple-converted-space"/>
          <w:rFonts w:ascii="Arial" w:hAnsi="Arial" w:cs="Arial"/>
          <w:color w:val="333333"/>
        </w:rPr>
        <w:t> </w:t>
      </w:r>
      <w:r w:rsidRPr="00F179AA">
        <w:rPr>
          <w:rFonts w:ascii="Arial" w:hAnsi="Arial" w:cs="Arial"/>
          <w:color w:val="333333"/>
        </w:rPr>
        <w:br/>
        <w:t>Las transacciones de SWAPS se realizan normalmente por teléfono o internet y se cierra el trato cuando se llega a un acuerdo sobre la tasa de cupón, la base para la tasa flotante, la base de días, fecha de inicio, fecha de vencimiento, fechas de rotación, ley aplicable y documentación.</w:t>
      </w:r>
      <w:r w:rsidRPr="00F179AA">
        <w:rPr>
          <w:rStyle w:val="apple-converted-space"/>
          <w:rFonts w:ascii="Arial" w:hAnsi="Arial" w:cs="Arial"/>
          <w:color w:val="333333"/>
        </w:rPr>
        <w:t> </w:t>
      </w:r>
      <w:r w:rsidRPr="00F179AA">
        <w:rPr>
          <w:rFonts w:ascii="Arial" w:hAnsi="Arial" w:cs="Arial"/>
          <w:color w:val="333333"/>
        </w:rPr>
        <w:br/>
        <w:t> </w:t>
      </w:r>
      <w:r w:rsidRPr="00F179AA">
        <w:rPr>
          <w:rStyle w:val="apple-converted-space"/>
          <w:rFonts w:ascii="Arial" w:hAnsi="Arial" w:cs="Arial"/>
          <w:color w:val="333333"/>
        </w:rPr>
        <w:t> </w:t>
      </w:r>
      <w:r w:rsidRPr="00F179AA">
        <w:rPr>
          <w:rFonts w:ascii="Arial" w:hAnsi="Arial" w:cs="Arial"/>
          <w:color w:val="333333"/>
        </w:rPr>
        <w:br/>
        <w:t xml:space="preserve">La transacción se confirma inmediatamente mediante </w:t>
      </w:r>
      <w:proofErr w:type="spellStart"/>
      <w:r w:rsidRPr="00F179AA">
        <w:rPr>
          <w:rFonts w:ascii="Arial" w:hAnsi="Arial" w:cs="Arial"/>
          <w:color w:val="333333"/>
        </w:rPr>
        <w:t>telex</w:t>
      </w:r>
      <w:proofErr w:type="spellEnd"/>
      <w:r w:rsidRPr="00F179AA">
        <w:rPr>
          <w:rFonts w:ascii="Arial" w:hAnsi="Arial" w:cs="Arial"/>
          <w:color w:val="333333"/>
        </w:rPr>
        <w:t xml:space="preserve"> o fax seguido de una confirmación escrita. La documentación utilizada en los principales centros monetarios es, por lo general, de una de las dos formas </w:t>
      </w:r>
      <w:proofErr w:type="spellStart"/>
      <w:r w:rsidRPr="00F179AA">
        <w:rPr>
          <w:rFonts w:ascii="Arial" w:hAnsi="Arial" w:cs="Arial"/>
          <w:color w:val="333333"/>
        </w:rPr>
        <w:t>standard</w:t>
      </w:r>
      <w:proofErr w:type="spellEnd"/>
      <w:r w:rsidRPr="00F179AA">
        <w:rPr>
          <w:rFonts w:ascii="Arial" w:hAnsi="Arial" w:cs="Arial"/>
          <w:color w:val="333333"/>
        </w:rPr>
        <w:t>, la que ofrece la asociación de banqueros británicos (BBAIRS) o la asociación internacional de agentes de swaps</w:t>
      </w:r>
      <w:r w:rsidRPr="00F179AA">
        <w:rPr>
          <w:rStyle w:val="apple-converted-space"/>
          <w:rFonts w:ascii="Arial" w:hAnsi="Arial" w:cs="Arial"/>
          <w:color w:val="333333"/>
        </w:rPr>
        <w:t> </w:t>
      </w:r>
    </w:p>
    <w:p w:rsidR="003719DA" w:rsidRPr="00F179AA" w:rsidRDefault="003A5CE8" w:rsidP="00F179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719DA" w:rsidRPr="00F179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AA"/>
    <w:rsid w:val="001E703D"/>
    <w:rsid w:val="00355254"/>
    <w:rsid w:val="003A5CE8"/>
    <w:rsid w:val="006042E3"/>
    <w:rsid w:val="00F1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17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1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2015-04-19T22:32:00Z</dcterms:created>
  <dcterms:modified xsi:type="dcterms:W3CDTF">2015-04-19T23:16:00Z</dcterms:modified>
</cp:coreProperties>
</file>