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5BA" w:rsidRDefault="008C55BA" w:rsidP="008C55BA">
      <w:pPr>
        <w:shd w:val="clear" w:color="auto" w:fill="FFFFFF"/>
        <w:tabs>
          <w:tab w:val="left" w:pos="5778"/>
        </w:tabs>
        <w:spacing w:after="0" w:line="300" w:lineRule="atLeast"/>
        <w:textAlignment w:val="top"/>
        <w:rPr>
          <w:rFonts w:ascii="Arial" w:eastAsia="Times New Roman" w:hAnsi="Arial" w:cs="Arial"/>
          <w:b/>
          <w:color w:val="555555"/>
          <w:sz w:val="32"/>
          <w:szCs w:val="32"/>
          <w:lang w:eastAsia="es-CO"/>
        </w:rPr>
      </w:pPr>
      <w:r w:rsidRPr="008C55BA">
        <w:rPr>
          <w:rFonts w:ascii="Arial" w:eastAsia="Times New Roman" w:hAnsi="Arial" w:cs="Arial"/>
          <w:b/>
          <w:iCs/>
          <w:color w:val="555555"/>
          <w:sz w:val="32"/>
          <w:szCs w:val="32"/>
          <w:bdr w:val="none" w:sz="0" w:space="0" w:color="auto" w:frame="1"/>
          <w:lang w:eastAsia="es-CO"/>
        </w:rPr>
        <w:t>TIPOS DE CONTRATOS DE FUTUROS</w:t>
      </w:r>
      <w:r w:rsidRPr="008C55BA">
        <w:rPr>
          <w:rFonts w:ascii="Arial" w:eastAsia="Times New Roman" w:hAnsi="Arial" w:cs="Arial"/>
          <w:b/>
          <w:iCs/>
          <w:color w:val="555555"/>
          <w:sz w:val="32"/>
          <w:szCs w:val="32"/>
          <w:bdr w:val="none" w:sz="0" w:space="0" w:color="auto" w:frame="1"/>
          <w:lang w:eastAsia="es-CO"/>
        </w:rPr>
        <w:tab/>
      </w:r>
    </w:p>
    <w:p w:rsidR="008C55BA" w:rsidRDefault="008C55BA" w:rsidP="008C55BA">
      <w:pPr>
        <w:shd w:val="clear" w:color="auto" w:fill="FFFFFF"/>
        <w:tabs>
          <w:tab w:val="left" w:pos="5778"/>
        </w:tabs>
        <w:spacing w:after="0" w:line="300" w:lineRule="atLeast"/>
        <w:textAlignment w:val="top"/>
        <w:rPr>
          <w:rFonts w:ascii="Arial" w:eastAsia="Times New Roman" w:hAnsi="Arial" w:cs="Arial"/>
          <w:b/>
          <w:color w:val="555555"/>
          <w:sz w:val="32"/>
          <w:szCs w:val="32"/>
          <w:lang w:eastAsia="es-CO"/>
        </w:rPr>
      </w:pPr>
    </w:p>
    <w:p w:rsidR="008C55BA" w:rsidRPr="00A962FB" w:rsidRDefault="008C55BA" w:rsidP="008C55BA">
      <w:pPr>
        <w:shd w:val="clear" w:color="auto" w:fill="FFFFFF"/>
        <w:tabs>
          <w:tab w:val="left" w:pos="5778"/>
        </w:tabs>
        <w:spacing w:after="0" w:line="300" w:lineRule="atLeast"/>
        <w:textAlignment w:val="top"/>
        <w:rPr>
          <w:rFonts w:ascii="Arial" w:eastAsia="Times New Roman" w:hAnsi="Arial" w:cs="Arial"/>
          <w:color w:val="555555"/>
          <w:sz w:val="21"/>
          <w:szCs w:val="21"/>
          <w:lang w:eastAsia="es-CO"/>
        </w:rPr>
      </w:pPr>
      <w:bookmarkStart w:id="0" w:name="_GoBack"/>
      <w:bookmarkEnd w:id="0"/>
      <w:r w:rsidRPr="00A962FB">
        <w:rPr>
          <w:rFonts w:ascii="Arial" w:eastAsia="Times New Roman" w:hAnsi="Arial" w:cs="Arial"/>
          <w:color w:val="555555"/>
          <w:sz w:val="21"/>
          <w:szCs w:val="21"/>
          <w:lang w:eastAsia="es-CO"/>
        </w:rPr>
        <w:t>Hoy día se negocian contratos de futuros sobre casi todo, puesto que en definitiva se está negociando la volatilidad de los precios, y en la situación actual los precios de prácticamente todos los productos fluctúan. Podemos realizar una clasificación de los tipos de contratos existentes atendiendo al activo subyacente que toman como base, y así tenemos los futuros sobre activos físicos y los futuros sobre instrumentos financieros.</w:t>
      </w:r>
    </w:p>
    <w:p w:rsidR="008C55BA" w:rsidRPr="00A962FB" w:rsidRDefault="008C55BA" w:rsidP="008C55BA">
      <w:pPr>
        <w:shd w:val="clear" w:color="auto" w:fill="FFFFFF"/>
        <w:spacing w:after="0" w:line="300" w:lineRule="atLeast"/>
        <w:textAlignment w:val="top"/>
        <w:rPr>
          <w:rFonts w:ascii="Arial" w:eastAsia="Times New Roman" w:hAnsi="Arial" w:cs="Arial"/>
          <w:color w:val="555555"/>
          <w:sz w:val="21"/>
          <w:szCs w:val="21"/>
          <w:lang w:eastAsia="es-CO"/>
        </w:rPr>
      </w:pPr>
      <w:r w:rsidRPr="00A962FB">
        <w:rPr>
          <w:rFonts w:ascii="Arial" w:eastAsia="Times New Roman" w:hAnsi="Arial" w:cs="Arial"/>
          <w:b/>
          <w:bCs/>
          <w:color w:val="555555"/>
          <w:sz w:val="21"/>
          <w:szCs w:val="21"/>
          <w:bdr w:val="none" w:sz="0" w:space="0" w:color="auto" w:frame="1"/>
          <w:lang w:eastAsia="es-CO"/>
        </w:rPr>
        <w:t>1.</w:t>
      </w:r>
      <w:r w:rsidRPr="00A962FB">
        <w:rPr>
          <w:rFonts w:ascii="Arial" w:eastAsia="Times New Roman" w:hAnsi="Arial" w:cs="Arial"/>
          <w:color w:val="555555"/>
          <w:sz w:val="21"/>
          <w:szCs w:val="21"/>
          <w:lang w:eastAsia="es-CO"/>
        </w:rPr>
        <w:t> </w:t>
      </w:r>
      <w:r w:rsidRPr="00A962FB">
        <w:rPr>
          <w:rFonts w:ascii="Arial" w:eastAsia="Times New Roman" w:hAnsi="Arial" w:cs="Arial"/>
          <w:i/>
          <w:iCs/>
          <w:color w:val="555555"/>
          <w:sz w:val="21"/>
          <w:szCs w:val="21"/>
          <w:bdr w:val="none" w:sz="0" w:space="0" w:color="auto" w:frame="1"/>
          <w:lang w:eastAsia="es-CO"/>
        </w:rPr>
        <w:t>Futuros sobre activos físicos (</w:t>
      </w:r>
      <w:proofErr w:type="spellStart"/>
      <w:r w:rsidRPr="00A962FB">
        <w:rPr>
          <w:rFonts w:ascii="Arial" w:eastAsia="Times New Roman" w:hAnsi="Arial" w:cs="Arial"/>
          <w:i/>
          <w:iCs/>
          <w:color w:val="555555"/>
          <w:sz w:val="21"/>
          <w:szCs w:val="21"/>
          <w:bdr w:val="none" w:sz="0" w:space="0" w:color="auto" w:frame="1"/>
          <w:lang w:eastAsia="es-CO"/>
        </w:rPr>
        <w:t>commodities</w:t>
      </w:r>
      <w:proofErr w:type="spellEnd"/>
      <w:r w:rsidRPr="00A962FB">
        <w:rPr>
          <w:rFonts w:ascii="Arial" w:eastAsia="Times New Roman" w:hAnsi="Arial" w:cs="Arial"/>
          <w:i/>
          <w:iCs/>
          <w:color w:val="555555"/>
          <w:sz w:val="21"/>
          <w:szCs w:val="21"/>
          <w:bdr w:val="none" w:sz="0" w:space="0" w:color="auto" w:frame="1"/>
          <w:lang w:eastAsia="es-CO"/>
        </w:rPr>
        <w:t>)</w:t>
      </w:r>
    </w:p>
    <w:p w:rsidR="008C55BA" w:rsidRPr="00A962FB" w:rsidRDefault="008C55BA" w:rsidP="008C55BA">
      <w:pPr>
        <w:shd w:val="clear" w:color="auto" w:fill="FFFFFF"/>
        <w:spacing w:after="240" w:line="300" w:lineRule="atLeast"/>
        <w:textAlignment w:val="top"/>
        <w:rPr>
          <w:rFonts w:ascii="Arial" w:eastAsia="Times New Roman" w:hAnsi="Arial" w:cs="Arial"/>
          <w:color w:val="555555"/>
          <w:sz w:val="21"/>
          <w:szCs w:val="21"/>
          <w:lang w:eastAsia="es-CO"/>
        </w:rPr>
      </w:pPr>
      <w:r w:rsidRPr="00A962FB">
        <w:rPr>
          <w:rFonts w:ascii="Arial" w:eastAsia="Times New Roman" w:hAnsi="Arial" w:cs="Arial"/>
          <w:color w:val="555555"/>
          <w:sz w:val="21"/>
          <w:szCs w:val="21"/>
          <w:lang w:eastAsia="es-CO"/>
        </w:rPr>
        <w:t>Los activos físicos o reales en que los contratos de futuros se basan provienen de cuatro grandes grupos: productos agrícolas y ganaderos, metales (preciosos o no), energía e índices extrabursátiles.</w:t>
      </w:r>
    </w:p>
    <w:p w:rsidR="008C55BA" w:rsidRPr="00A962FB" w:rsidRDefault="008C55BA" w:rsidP="008C55BA">
      <w:pPr>
        <w:shd w:val="clear" w:color="auto" w:fill="FFFFFF"/>
        <w:spacing w:after="240" w:line="300" w:lineRule="atLeast"/>
        <w:textAlignment w:val="top"/>
        <w:rPr>
          <w:rFonts w:ascii="Arial" w:eastAsia="Times New Roman" w:hAnsi="Arial" w:cs="Arial"/>
          <w:color w:val="555555"/>
          <w:sz w:val="21"/>
          <w:szCs w:val="21"/>
          <w:lang w:eastAsia="es-CO"/>
        </w:rPr>
      </w:pPr>
      <w:r w:rsidRPr="00A962FB">
        <w:rPr>
          <w:rFonts w:ascii="Arial" w:eastAsia="Times New Roman" w:hAnsi="Arial" w:cs="Arial"/>
          <w:color w:val="555555"/>
          <w:sz w:val="21"/>
          <w:szCs w:val="21"/>
          <w:lang w:eastAsia="es-CO"/>
        </w:rPr>
        <w:t xml:space="preserve">Los primeros futuros sobre activos reales que se conocen en el mundo fueron negociados en Japón, en el siglo XVII (Mercado de arroz de </w:t>
      </w:r>
      <w:proofErr w:type="spellStart"/>
      <w:r w:rsidRPr="00A962FB">
        <w:rPr>
          <w:rFonts w:ascii="Arial" w:eastAsia="Times New Roman" w:hAnsi="Arial" w:cs="Arial"/>
          <w:color w:val="555555"/>
          <w:sz w:val="21"/>
          <w:szCs w:val="21"/>
          <w:lang w:eastAsia="es-CO"/>
        </w:rPr>
        <w:t>Dojima</w:t>
      </w:r>
      <w:proofErr w:type="spellEnd"/>
      <w:r w:rsidRPr="00A962FB">
        <w:rPr>
          <w:rFonts w:ascii="Arial" w:eastAsia="Times New Roman" w:hAnsi="Arial" w:cs="Arial"/>
          <w:color w:val="555555"/>
          <w:sz w:val="21"/>
          <w:szCs w:val="21"/>
          <w:lang w:eastAsia="es-CO"/>
        </w:rPr>
        <w:t>, Osaka).</w:t>
      </w:r>
    </w:p>
    <w:p w:rsidR="008C55BA" w:rsidRPr="00A962FB" w:rsidRDefault="008C55BA" w:rsidP="008C55BA">
      <w:pPr>
        <w:shd w:val="clear" w:color="auto" w:fill="FFFFFF"/>
        <w:spacing w:after="0" w:line="300" w:lineRule="atLeast"/>
        <w:textAlignment w:val="top"/>
        <w:rPr>
          <w:rFonts w:ascii="Arial" w:eastAsia="Times New Roman" w:hAnsi="Arial" w:cs="Arial"/>
          <w:color w:val="555555"/>
          <w:sz w:val="21"/>
          <w:szCs w:val="21"/>
          <w:lang w:eastAsia="es-CO"/>
        </w:rPr>
      </w:pPr>
      <w:r w:rsidRPr="00A962FB">
        <w:rPr>
          <w:rFonts w:ascii="Arial" w:eastAsia="Times New Roman" w:hAnsi="Arial" w:cs="Arial"/>
          <w:color w:val="555555"/>
          <w:sz w:val="21"/>
          <w:szCs w:val="21"/>
          <w:lang w:eastAsia="es-CO"/>
        </w:rPr>
        <w:t>Hoy en día se ha extendido su uso a todo el mundo y los principales mercados tienen estandarizados los contratos que negocian sobre futuros en </w:t>
      </w:r>
      <w:proofErr w:type="spellStart"/>
      <w:r w:rsidRPr="00A962FB">
        <w:rPr>
          <w:rFonts w:ascii="Arial" w:eastAsia="Times New Roman" w:hAnsi="Arial" w:cs="Arial"/>
          <w:i/>
          <w:iCs/>
          <w:color w:val="555555"/>
          <w:sz w:val="21"/>
          <w:szCs w:val="21"/>
          <w:bdr w:val="none" w:sz="0" w:space="0" w:color="auto" w:frame="1"/>
          <w:lang w:eastAsia="es-CO"/>
        </w:rPr>
        <w:t>commodities</w:t>
      </w:r>
      <w:proofErr w:type="spellEnd"/>
      <w:r w:rsidRPr="00A962FB">
        <w:rPr>
          <w:rFonts w:ascii="Arial" w:eastAsia="Times New Roman" w:hAnsi="Arial" w:cs="Arial"/>
          <w:i/>
          <w:iCs/>
          <w:color w:val="555555"/>
          <w:sz w:val="21"/>
          <w:szCs w:val="21"/>
          <w:bdr w:val="none" w:sz="0" w:space="0" w:color="auto" w:frame="1"/>
          <w:lang w:eastAsia="es-CO"/>
        </w:rPr>
        <w:t>,</w:t>
      </w:r>
      <w:r w:rsidRPr="00A962FB">
        <w:rPr>
          <w:rFonts w:ascii="Arial" w:eastAsia="Times New Roman" w:hAnsi="Arial" w:cs="Arial"/>
          <w:color w:val="555555"/>
          <w:sz w:val="21"/>
          <w:szCs w:val="21"/>
          <w:lang w:eastAsia="es-CO"/>
        </w:rPr>
        <w:t> así como las diferentes cantidades de cada uno de los productos.</w:t>
      </w:r>
    </w:p>
    <w:p w:rsidR="008C55BA" w:rsidRPr="00A962FB" w:rsidRDefault="008C55BA" w:rsidP="008C55BA">
      <w:pPr>
        <w:shd w:val="clear" w:color="auto" w:fill="FFFFFF"/>
        <w:spacing w:after="240" w:line="300" w:lineRule="atLeast"/>
        <w:textAlignment w:val="top"/>
        <w:rPr>
          <w:rFonts w:ascii="Arial" w:eastAsia="Times New Roman" w:hAnsi="Arial" w:cs="Arial"/>
          <w:color w:val="555555"/>
          <w:sz w:val="21"/>
          <w:szCs w:val="21"/>
          <w:lang w:eastAsia="es-CO"/>
        </w:rPr>
      </w:pPr>
      <w:r w:rsidRPr="00A962FB">
        <w:rPr>
          <w:rFonts w:ascii="Arial" w:eastAsia="Times New Roman" w:hAnsi="Arial" w:cs="Arial"/>
          <w:color w:val="555555"/>
          <w:sz w:val="21"/>
          <w:szCs w:val="21"/>
          <w:lang w:eastAsia="es-CO"/>
        </w:rPr>
        <w:t>La siguiente enumeración es simplemente enunciativa de las mercancías sobre las que existen contratos de futuros negociados:</w:t>
      </w:r>
    </w:p>
    <w:p w:rsidR="008C55BA" w:rsidRPr="00A962FB" w:rsidRDefault="008C55BA" w:rsidP="008C55BA">
      <w:pPr>
        <w:numPr>
          <w:ilvl w:val="0"/>
          <w:numId w:val="1"/>
        </w:numPr>
        <w:spacing w:after="0" w:line="300" w:lineRule="atLeast"/>
        <w:ind w:left="0"/>
        <w:textAlignment w:val="top"/>
        <w:rPr>
          <w:rFonts w:ascii="Arial" w:eastAsia="Times New Roman" w:hAnsi="Arial" w:cs="Arial"/>
          <w:color w:val="555555"/>
          <w:sz w:val="21"/>
          <w:szCs w:val="21"/>
          <w:lang w:eastAsia="es-CO"/>
        </w:rPr>
      </w:pPr>
      <w:r w:rsidRPr="00A962FB">
        <w:rPr>
          <w:rFonts w:ascii="Arial" w:eastAsia="Times New Roman" w:hAnsi="Arial" w:cs="Arial"/>
          <w:b/>
          <w:bCs/>
          <w:color w:val="555555"/>
          <w:sz w:val="21"/>
          <w:szCs w:val="21"/>
          <w:bdr w:val="none" w:sz="0" w:space="0" w:color="auto" w:frame="1"/>
          <w:lang w:eastAsia="es-CO"/>
        </w:rPr>
        <w:t>—</w:t>
      </w:r>
      <w:r w:rsidRPr="00A962FB">
        <w:rPr>
          <w:rFonts w:ascii="Arial" w:eastAsia="Times New Roman" w:hAnsi="Arial" w:cs="Arial"/>
          <w:color w:val="555555"/>
          <w:sz w:val="21"/>
          <w:szCs w:val="21"/>
          <w:lang w:eastAsia="es-CO"/>
        </w:rPr>
        <w:t> Productos agrícolas y ganaderos: cereales, oleaginosas, productos cárnicos, productos tropicales, otros, etc.</w:t>
      </w:r>
    </w:p>
    <w:p w:rsidR="008C55BA" w:rsidRPr="00A962FB" w:rsidRDefault="008C55BA" w:rsidP="008C55BA">
      <w:pPr>
        <w:numPr>
          <w:ilvl w:val="0"/>
          <w:numId w:val="1"/>
        </w:numPr>
        <w:spacing w:after="0" w:line="300" w:lineRule="atLeast"/>
        <w:ind w:left="0"/>
        <w:textAlignment w:val="top"/>
        <w:rPr>
          <w:rFonts w:ascii="Arial" w:eastAsia="Times New Roman" w:hAnsi="Arial" w:cs="Arial"/>
          <w:color w:val="555555"/>
          <w:sz w:val="21"/>
          <w:szCs w:val="21"/>
          <w:lang w:eastAsia="es-CO"/>
        </w:rPr>
      </w:pPr>
      <w:r w:rsidRPr="00A962FB">
        <w:rPr>
          <w:rFonts w:ascii="Arial" w:eastAsia="Times New Roman" w:hAnsi="Arial" w:cs="Arial"/>
          <w:b/>
          <w:bCs/>
          <w:color w:val="555555"/>
          <w:sz w:val="21"/>
          <w:szCs w:val="21"/>
          <w:bdr w:val="none" w:sz="0" w:space="0" w:color="auto" w:frame="1"/>
          <w:lang w:eastAsia="es-CO"/>
        </w:rPr>
        <w:t>—</w:t>
      </w:r>
      <w:r w:rsidRPr="00A962FB">
        <w:rPr>
          <w:rFonts w:ascii="Arial" w:eastAsia="Times New Roman" w:hAnsi="Arial" w:cs="Arial"/>
          <w:color w:val="555555"/>
          <w:sz w:val="21"/>
          <w:szCs w:val="21"/>
          <w:lang w:eastAsia="es-CO"/>
        </w:rPr>
        <w:t> Metales: oro, plata, platino, paladio, aluminio, cobre, plomo, níquel, magnesio, zinc, etc.</w:t>
      </w:r>
    </w:p>
    <w:p w:rsidR="008C55BA" w:rsidRPr="00A962FB" w:rsidRDefault="008C55BA" w:rsidP="008C55BA">
      <w:pPr>
        <w:numPr>
          <w:ilvl w:val="0"/>
          <w:numId w:val="1"/>
        </w:numPr>
        <w:spacing w:after="0" w:line="300" w:lineRule="atLeast"/>
        <w:ind w:left="0"/>
        <w:textAlignment w:val="top"/>
        <w:rPr>
          <w:rFonts w:ascii="Arial" w:eastAsia="Times New Roman" w:hAnsi="Arial" w:cs="Arial"/>
          <w:color w:val="555555"/>
          <w:sz w:val="21"/>
          <w:szCs w:val="21"/>
          <w:lang w:eastAsia="es-CO"/>
        </w:rPr>
      </w:pPr>
      <w:r w:rsidRPr="00A962FB">
        <w:rPr>
          <w:rFonts w:ascii="Arial" w:eastAsia="Times New Roman" w:hAnsi="Arial" w:cs="Arial"/>
          <w:b/>
          <w:bCs/>
          <w:color w:val="555555"/>
          <w:sz w:val="21"/>
          <w:szCs w:val="21"/>
          <w:bdr w:val="none" w:sz="0" w:space="0" w:color="auto" w:frame="1"/>
          <w:lang w:eastAsia="es-CO"/>
        </w:rPr>
        <w:t>—</w:t>
      </w:r>
      <w:r w:rsidRPr="00A962FB">
        <w:rPr>
          <w:rFonts w:ascii="Arial" w:eastAsia="Times New Roman" w:hAnsi="Arial" w:cs="Arial"/>
          <w:color w:val="555555"/>
          <w:sz w:val="21"/>
          <w:szCs w:val="21"/>
          <w:lang w:eastAsia="es-CO"/>
        </w:rPr>
        <w:t> Energía: gas natural, crudo, gasoil, propano, energía eléctrica, etc.</w:t>
      </w:r>
    </w:p>
    <w:p w:rsidR="008C55BA" w:rsidRPr="00A962FB" w:rsidRDefault="008C55BA" w:rsidP="008C55BA">
      <w:pPr>
        <w:numPr>
          <w:ilvl w:val="0"/>
          <w:numId w:val="1"/>
        </w:numPr>
        <w:spacing w:after="0" w:line="300" w:lineRule="atLeast"/>
        <w:ind w:left="0"/>
        <w:textAlignment w:val="top"/>
        <w:rPr>
          <w:rFonts w:ascii="Arial" w:eastAsia="Times New Roman" w:hAnsi="Arial" w:cs="Arial"/>
          <w:color w:val="555555"/>
          <w:sz w:val="21"/>
          <w:szCs w:val="21"/>
          <w:lang w:eastAsia="es-CO"/>
        </w:rPr>
      </w:pPr>
      <w:r w:rsidRPr="00A962FB">
        <w:rPr>
          <w:rFonts w:ascii="Arial" w:eastAsia="Times New Roman" w:hAnsi="Arial" w:cs="Arial"/>
          <w:b/>
          <w:bCs/>
          <w:color w:val="555555"/>
          <w:sz w:val="21"/>
          <w:szCs w:val="21"/>
          <w:bdr w:val="none" w:sz="0" w:space="0" w:color="auto" w:frame="1"/>
          <w:lang w:eastAsia="es-CO"/>
        </w:rPr>
        <w:t>—</w:t>
      </w:r>
      <w:r w:rsidRPr="00A962FB">
        <w:rPr>
          <w:rFonts w:ascii="Arial" w:eastAsia="Times New Roman" w:hAnsi="Arial" w:cs="Arial"/>
          <w:color w:val="555555"/>
          <w:sz w:val="21"/>
          <w:szCs w:val="21"/>
          <w:lang w:eastAsia="es-CO"/>
        </w:rPr>
        <w:t> Índices: meteorológico, inmuebles, fletes, medioambiente, reaseguros, etc.</w:t>
      </w:r>
    </w:p>
    <w:p w:rsidR="008C55BA" w:rsidRPr="00A962FB" w:rsidRDefault="008C55BA" w:rsidP="008C55BA">
      <w:pPr>
        <w:shd w:val="clear" w:color="auto" w:fill="FFFFFF"/>
        <w:spacing w:after="0" w:line="300" w:lineRule="atLeast"/>
        <w:textAlignment w:val="top"/>
        <w:rPr>
          <w:rFonts w:ascii="Arial" w:eastAsia="Times New Roman" w:hAnsi="Arial" w:cs="Arial"/>
          <w:color w:val="555555"/>
          <w:sz w:val="21"/>
          <w:szCs w:val="21"/>
          <w:lang w:eastAsia="es-CO"/>
        </w:rPr>
      </w:pPr>
      <w:r w:rsidRPr="00A962FB">
        <w:rPr>
          <w:rFonts w:ascii="Arial" w:eastAsia="Times New Roman" w:hAnsi="Arial" w:cs="Arial"/>
          <w:b/>
          <w:bCs/>
          <w:color w:val="555555"/>
          <w:sz w:val="21"/>
          <w:szCs w:val="21"/>
          <w:bdr w:val="none" w:sz="0" w:space="0" w:color="auto" w:frame="1"/>
          <w:lang w:eastAsia="es-CO"/>
        </w:rPr>
        <w:t>2.</w:t>
      </w:r>
      <w:r w:rsidRPr="00A962FB">
        <w:rPr>
          <w:rFonts w:ascii="Arial" w:eastAsia="Times New Roman" w:hAnsi="Arial" w:cs="Arial"/>
          <w:color w:val="555555"/>
          <w:sz w:val="21"/>
          <w:szCs w:val="21"/>
          <w:lang w:eastAsia="es-CO"/>
        </w:rPr>
        <w:t> </w:t>
      </w:r>
      <w:r w:rsidRPr="00A962FB">
        <w:rPr>
          <w:rFonts w:ascii="Arial" w:eastAsia="Times New Roman" w:hAnsi="Arial" w:cs="Arial"/>
          <w:i/>
          <w:iCs/>
          <w:color w:val="555555"/>
          <w:sz w:val="21"/>
          <w:szCs w:val="21"/>
          <w:bdr w:val="none" w:sz="0" w:space="0" w:color="auto" w:frame="1"/>
          <w:lang w:eastAsia="es-CO"/>
        </w:rPr>
        <w:t>Futuros sobre instrumentos financieros</w:t>
      </w:r>
    </w:p>
    <w:p w:rsidR="008C55BA" w:rsidRPr="00A962FB" w:rsidRDefault="008C55BA" w:rsidP="008C55BA">
      <w:pPr>
        <w:shd w:val="clear" w:color="auto" w:fill="FFFFFF"/>
        <w:spacing w:after="240" w:line="300" w:lineRule="atLeast"/>
        <w:textAlignment w:val="top"/>
        <w:rPr>
          <w:rFonts w:ascii="Arial" w:eastAsia="Times New Roman" w:hAnsi="Arial" w:cs="Arial"/>
          <w:color w:val="555555"/>
          <w:sz w:val="21"/>
          <w:szCs w:val="21"/>
          <w:lang w:eastAsia="es-CO"/>
        </w:rPr>
      </w:pPr>
      <w:r w:rsidRPr="00A962FB">
        <w:rPr>
          <w:rFonts w:ascii="Arial" w:eastAsia="Times New Roman" w:hAnsi="Arial" w:cs="Arial"/>
          <w:color w:val="555555"/>
          <w:sz w:val="21"/>
          <w:szCs w:val="21"/>
          <w:lang w:eastAsia="es-CO"/>
        </w:rPr>
        <w:t>Los futuros financieros comenzaron a negociarse a partir de los años 70. Por orden de aparición, los activos en los que se basan son los siguientes: divisas, tipos de interés (instrumentos de deuda y depósitos del interbancario) e índices bursátiles.</w:t>
      </w:r>
    </w:p>
    <w:p w:rsidR="008C55BA" w:rsidRPr="00A962FB" w:rsidRDefault="008C55BA" w:rsidP="008C55BA">
      <w:pPr>
        <w:shd w:val="clear" w:color="auto" w:fill="FFFFFF"/>
        <w:spacing w:after="0" w:line="300" w:lineRule="atLeast"/>
        <w:textAlignment w:val="top"/>
        <w:rPr>
          <w:rFonts w:ascii="Arial" w:eastAsia="Times New Roman" w:hAnsi="Arial" w:cs="Arial"/>
          <w:color w:val="555555"/>
          <w:sz w:val="21"/>
          <w:szCs w:val="21"/>
          <w:lang w:eastAsia="es-CO"/>
        </w:rPr>
      </w:pPr>
      <w:r w:rsidRPr="00A962FB">
        <w:rPr>
          <w:rFonts w:ascii="Arial" w:eastAsia="Times New Roman" w:hAnsi="Arial" w:cs="Arial"/>
          <w:b/>
          <w:bCs/>
          <w:color w:val="555555"/>
          <w:sz w:val="21"/>
          <w:szCs w:val="21"/>
          <w:bdr w:val="none" w:sz="0" w:space="0" w:color="auto" w:frame="1"/>
          <w:lang w:eastAsia="es-CO"/>
        </w:rPr>
        <w:t>a)</w:t>
      </w:r>
      <w:r w:rsidRPr="00A962FB">
        <w:rPr>
          <w:rFonts w:ascii="Arial" w:eastAsia="Times New Roman" w:hAnsi="Arial" w:cs="Arial"/>
          <w:color w:val="555555"/>
          <w:sz w:val="21"/>
          <w:szCs w:val="21"/>
          <w:lang w:eastAsia="es-CO"/>
        </w:rPr>
        <w:t> </w:t>
      </w:r>
      <w:r w:rsidRPr="00A962FB">
        <w:rPr>
          <w:rFonts w:ascii="Arial" w:eastAsia="Times New Roman" w:hAnsi="Arial" w:cs="Arial"/>
          <w:i/>
          <w:iCs/>
          <w:color w:val="555555"/>
          <w:sz w:val="21"/>
          <w:szCs w:val="21"/>
          <w:bdr w:val="none" w:sz="0" w:space="0" w:color="auto" w:frame="1"/>
          <w:lang w:eastAsia="es-CO"/>
        </w:rPr>
        <w:t>Los futuros sobre divisas</w:t>
      </w:r>
    </w:p>
    <w:p w:rsidR="008C55BA" w:rsidRPr="00A962FB" w:rsidRDefault="008C55BA" w:rsidP="008C55BA">
      <w:pPr>
        <w:shd w:val="clear" w:color="auto" w:fill="FFFFFF"/>
        <w:spacing w:after="240" w:line="300" w:lineRule="atLeast"/>
        <w:textAlignment w:val="top"/>
        <w:rPr>
          <w:rFonts w:ascii="Arial" w:eastAsia="Times New Roman" w:hAnsi="Arial" w:cs="Arial"/>
          <w:color w:val="555555"/>
          <w:sz w:val="21"/>
          <w:szCs w:val="21"/>
          <w:lang w:eastAsia="es-CO"/>
        </w:rPr>
      </w:pPr>
      <w:r w:rsidRPr="00A962FB">
        <w:rPr>
          <w:rFonts w:ascii="Arial" w:eastAsia="Times New Roman" w:hAnsi="Arial" w:cs="Arial"/>
          <w:color w:val="555555"/>
          <w:sz w:val="21"/>
          <w:szCs w:val="21"/>
          <w:lang w:eastAsia="es-CO"/>
        </w:rPr>
        <w:t xml:space="preserve">Empezaron a negociarse a principios de los 70, concretamente en 1972, anticipándose al abandono del sistema de patrón oro impuesto en </w:t>
      </w:r>
      <w:proofErr w:type="spellStart"/>
      <w:r w:rsidRPr="00A962FB">
        <w:rPr>
          <w:rFonts w:ascii="Arial" w:eastAsia="Times New Roman" w:hAnsi="Arial" w:cs="Arial"/>
          <w:color w:val="555555"/>
          <w:sz w:val="21"/>
          <w:szCs w:val="21"/>
          <w:lang w:eastAsia="es-CO"/>
        </w:rPr>
        <w:t>Bretton</w:t>
      </w:r>
      <w:proofErr w:type="spellEnd"/>
      <w:r w:rsidRPr="00A962FB">
        <w:rPr>
          <w:rFonts w:ascii="Arial" w:eastAsia="Times New Roman" w:hAnsi="Arial" w:cs="Arial"/>
          <w:color w:val="555555"/>
          <w:sz w:val="21"/>
          <w:szCs w:val="21"/>
          <w:lang w:eastAsia="es-CO"/>
        </w:rPr>
        <w:t xml:space="preserve"> Woods, que provocó grandes fluctuaciones de precios.</w:t>
      </w:r>
    </w:p>
    <w:p w:rsidR="008C55BA" w:rsidRPr="00A962FB" w:rsidRDefault="008C55BA" w:rsidP="008C55BA">
      <w:pPr>
        <w:shd w:val="clear" w:color="auto" w:fill="FFFFFF"/>
        <w:spacing w:after="0" w:line="300" w:lineRule="atLeast"/>
        <w:textAlignment w:val="top"/>
        <w:rPr>
          <w:rFonts w:ascii="Arial" w:eastAsia="Times New Roman" w:hAnsi="Arial" w:cs="Arial"/>
          <w:color w:val="555555"/>
          <w:sz w:val="21"/>
          <w:szCs w:val="21"/>
          <w:lang w:eastAsia="es-CO"/>
        </w:rPr>
      </w:pPr>
      <w:r w:rsidRPr="00A962FB">
        <w:rPr>
          <w:rFonts w:ascii="Arial" w:eastAsia="Times New Roman" w:hAnsi="Arial" w:cs="Arial"/>
          <w:b/>
          <w:bCs/>
          <w:color w:val="555555"/>
          <w:sz w:val="21"/>
          <w:szCs w:val="21"/>
          <w:bdr w:val="none" w:sz="0" w:space="0" w:color="auto" w:frame="1"/>
          <w:lang w:eastAsia="es-CO"/>
        </w:rPr>
        <w:t>b)</w:t>
      </w:r>
      <w:r w:rsidRPr="00A962FB">
        <w:rPr>
          <w:rFonts w:ascii="Arial" w:eastAsia="Times New Roman" w:hAnsi="Arial" w:cs="Arial"/>
          <w:color w:val="555555"/>
          <w:sz w:val="21"/>
          <w:szCs w:val="21"/>
          <w:lang w:eastAsia="es-CO"/>
        </w:rPr>
        <w:t> </w:t>
      </w:r>
      <w:r w:rsidRPr="00A962FB">
        <w:rPr>
          <w:rFonts w:ascii="Arial" w:eastAsia="Times New Roman" w:hAnsi="Arial" w:cs="Arial"/>
          <w:i/>
          <w:iCs/>
          <w:color w:val="555555"/>
          <w:sz w:val="21"/>
          <w:szCs w:val="21"/>
          <w:bdr w:val="none" w:sz="0" w:space="0" w:color="auto" w:frame="1"/>
          <w:lang w:eastAsia="es-CO"/>
        </w:rPr>
        <w:t>Los futuros sobre tipos de interés</w:t>
      </w:r>
    </w:p>
    <w:p w:rsidR="008C55BA" w:rsidRPr="00A962FB" w:rsidRDefault="008C55BA" w:rsidP="008C55BA">
      <w:pPr>
        <w:shd w:val="clear" w:color="auto" w:fill="FFFFFF"/>
        <w:spacing w:after="240" w:line="300" w:lineRule="atLeast"/>
        <w:textAlignment w:val="top"/>
        <w:rPr>
          <w:rFonts w:ascii="Arial" w:eastAsia="Times New Roman" w:hAnsi="Arial" w:cs="Arial"/>
          <w:color w:val="555555"/>
          <w:sz w:val="21"/>
          <w:szCs w:val="21"/>
          <w:lang w:eastAsia="es-CO"/>
        </w:rPr>
      </w:pPr>
      <w:r w:rsidRPr="00A962FB">
        <w:rPr>
          <w:rFonts w:ascii="Arial" w:eastAsia="Times New Roman" w:hAnsi="Arial" w:cs="Arial"/>
          <w:color w:val="555555"/>
          <w:sz w:val="21"/>
          <w:szCs w:val="21"/>
          <w:lang w:eastAsia="es-CO"/>
        </w:rPr>
        <w:t>Comenzaron a negociarse a finales de los 70, siendo su mayor empleo la cobertura de riesgos de tipos de interés. Estos productos pueden tomar como subyacente bien bonos, principalmente de deuda, bien depósitos del interbancario (largo y corto plazo, respectivamente).</w:t>
      </w:r>
    </w:p>
    <w:p w:rsidR="008C55BA" w:rsidRPr="00A962FB" w:rsidRDefault="008C55BA" w:rsidP="008C55BA">
      <w:pPr>
        <w:shd w:val="clear" w:color="auto" w:fill="FFFFFF"/>
        <w:spacing w:after="0" w:line="300" w:lineRule="atLeast"/>
        <w:textAlignment w:val="top"/>
        <w:rPr>
          <w:rFonts w:ascii="Arial" w:eastAsia="Times New Roman" w:hAnsi="Arial" w:cs="Arial"/>
          <w:color w:val="555555"/>
          <w:sz w:val="21"/>
          <w:szCs w:val="21"/>
          <w:lang w:eastAsia="es-CO"/>
        </w:rPr>
      </w:pPr>
      <w:r w:rsidRPr="00A962FB">
        <w:rPr>
          <w:rFonts w:ascii="Arial" w:eastAsia="Times New Roman" w:hAnsi="Arial" w:cs="Arial"/>
          <w:b/>
          <w:bCs/>
          <w:color w:val="555555"/>
          <w:sz w:val="21"/>
          <w:szCs w:val="21"/>
          <w:bdr w:val="none" w:sz="0" w:space="0" w:color="auto" w:frame="1"/>
          <w:lang w:eastAsia="es-CO"/>
        </w:rPr>
        <w:t>c)</w:t>
      </w:r>
      <w:r w:rsidRPr="00A962FB">
        <w:rPr>
          <w:rFonts w:ascii="Arial" w:eastAsia="Times New Roman" w:hAnsi="Arial" w:cs="Arial"/>
          <w:color w:val="555555"/>
          <w:sz w:val="21"/>
          <w:szCs w:val="21"/>
          <w:lang w:eastAsia="es-CO"/>
        </w:rPr>
        <w:t> </w:t>
      </w:r>
      <w:r w:rsidRPr="00A962FB">
        <w:rPr>
          <w:rFonts w:ascii="Arial" w:eastAsia="Times New Roman" w:hAnsi="Arial" w:cs="Arial"/>
          <w:i/>
          <w:iCs/>
          <w:color w:val="555555"/>
          <w:sz w:val="21"/>
          <w:szCs w:val="21"/>
          <w:bdr w:val="none" w:sz="0" w:space="0" w:color="auto" w:frame="1"/>
          <w:lang w:eastAsia="es-CO"/>
        </w:rPr>
        <w:t>Los futuros sobre acciones e índices bursátiles</w:t>
      </w:r>
    </w:p>
    <w:p w:rsidR="008C55BA" w:rsidRPr="00A962FB" w:rsidRDefault="008C55BA" w:rsidP="008C55BA">
      <w:pPr>
        <w:shd w:val="clear" w:color="auto" w:fill="FFFFFF"/>
        <w:spacing w:after="240" w:line="300" w:lineRule="atLeast"/>
        <w:textAlignment w:val="top"/>
        <w:rPr>
          <w:rFonts w:ascii="Arial" w:eastAsia="Times New Roman" w:hAnsi="Arial" w:cs="Arial"/>
          <w:color w:val="555555"/>
          <w:sz w:val="21"/>
          <w:szCs w:val="21"/>
          <w:lang w:eastAsia="es-CO"/>
        </w:rPr>
      </w:pPr>
      <w:r w:rsidRPr="00A962FB">
        <w:rPr>
          <w:rFonts w:ascii="Arial" w:eastAsia="Times New Roman" w:hAnsi="Arial" w:cs="Arial"/>
          <w:color w:val="555555"/>
          <w:sz w:val="21"/>
          <w:szCs w:val="21"/>
          <w:lang w:eastAsia="es-CO"/>
        </w:rPr>
        <w:lastRenderedPageBreak/>
        <w:t>Fueron los últimos en aparecer, negociándose a principios de los 80. Su empleo, además de la especulación que caracteriza a todos los derivados, es la cobertura debida a fluctuaciones en las cotizaciones bursátiles.</w:t>
      </w:r>
    </w:p>
    <w:p w:rsidR="003719DA" w:rsidRDefault="008C55BA"/>
    <w:sectPr w:rsidR="003719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93E8F"/>
    <w:multiLevelType w:val="multilevel"/>
    <w:tmpl w:val="73CE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5BA"/>
    <w:rsid w:val="001E703D"/>
    <w:rsid w:val="00355254"/>
    <w:rsid w:val="006042E3"/>
    <w:rsid w:val="008C55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5B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5B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2015-04-23T02:41:00Z</dcterms:created>
  <dcterms:modified xsi:type="dcterms:W3CDTF">2015-04-23T02:42:00Z</dcterms:modified>
</cp:coreProperties>
</file>