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B3" w:rsidRPr="001F7815" w:rsidRDefault="00B019B3" w:rsidP="00B019B3">
      <w:pPr>
        <w:pStyle w:val="NoSpacing"/>
        <w:jc w:val="center"/>
        <w:rPr>
          <w:b/>
          <w:sz w:val="24"/>
          <w:szCs w:val="24"/>
        </w:rPr>
      </w:pPr>
    </w:p>
    <w:p w:rsidR="003D136C" w:rsidRPr="001F7815" w:rsidRDefault="003D136C" w:rsidP="00B019B3">
      <w:pPr>
        <w:pStyle w:val="NoSpacing"/>
        <w:jc w:val="center"/>
        <w:rPr>
          <w:b/>
          <w:sz w:val="24"/>
          <w:szCs w:val="24"/>
        </w:rPr>
      </w:pPr>
      <w:r w:rsidRPr="001F7815">
        <w:rPr>
          <w:b/>
          <w:sz w:val="24"/>
          <w:szCs w:val="24"/>
        </w:rPr>
        <w:t>MAPAS DE CONOCIMIENTO REGIONAL</w:t>
      </w:r>
    </w:p>
    <w:p w:rsidR="003D136C" w:rsidRPr="001F7815" w:rsidRDefault="003D136C" w:rsidP="00B019B3">
      <w:pPr>
        <w:pStyle w:val="NoSpacing"/>
        <w:jc w:val="center"/>
        <w:rPr>
          <w:b/>
          <w:sz w:val="24"/>
          <w:szCs w:val="24"/>
        </w:rPr>
      </w:pPr>
      <w:r w:rsidRPr="001F7815">
        <w:rPr>
          <w:b/>
          <w:sz w:val="24"/>
          <w:szCs w:val="24"/>
        </w:rPr>
        <w:t>TRABAJO COLABORATIVO 3</w:t>
      </w:r>
    </w:p>
    <w:p w:rsidR="003D136C" w:rsidRPr="001F7815" w:rsidRDefault="003D136C" w:rsidP="00B019B3">
      <w:pPr>
        <w:pStyle w:val="NoSpacing"/>
        <w:jc w:val="center"/>
        <w:rPr>
          <w:b/>
          <w:sz w:val="24"/>
          <w:szCs w:val="24"/>
        </w:rPr>
      </w:pPr>
      <w:r w:rsidRPr="001F7815">
        <w:rPr>
          <w:b/>
          <w:sz w:val="24"/>
          <w:szCs w:val="24"/>
        </w:rPr>
        <w:t>REVISIÓN BIBLIOGRÁFICA</w:t>
      </w:r>
    </w:p>
    <w:p w:rsidR="003D136C" w:rsidRPr="001F7815" w:rsidRDefault="003D136C" w:rsidP="003D136C">
      <w:pPr>
        <w:pStyle w:val="NoSpacing"/>
        <w:rPr>
          <w:sz w:val="24"/>
          <w:szCs w:val="24"/>
        </w:rPr>
      </w:pPr>
    </w:p>
    <w:p w:rsidR="00B019B3" w:rsidRPr="001F7815" w:rsidRDefault="00B019B3" w:rsidP="003D136C">
      <w:pPr>
        <w:pStyle w:val="NoSpacing"/>
        <w:rPr>
          <w:sz w:val="24"/>
          <w:szCs w:val="24"/>
        </w:rPr>
      </w:pPr>
    </w:p>
    <w:p w:rsidR="00B019B3" w:rsidRPr="001F7815" w:rsidRDefault="00B019B3" w:rsidP="003D136C">
      <w:pPr>
        <w:pStyle w:val="NoSpacing"/>
        <w:rPr>
          <w:sz w:val="24"/>
          <w:szCs w:val="24"/>
        </w:rPr>
      </w:pPr>
    </w:p>
    <w:p w:rsidR="00B019B3" w:rsidRPr="001F7815" w:rsidRDefault="00B019B3" w:rsidP="00B019B3">
      <w:pPr>
        <w:pStyle w:val="NoSpacing"/>
        <w:jc w:val="center"/>
        <w:rPr>
          <w:sz w:val="24"/>
          <w:szCs w:val="24"/>
        </w:rPr>
      </w:pPr>
    </w:p>
    <w:p w:rsidR="003D136C" w:rsidRPr="001F7815" w:rsidRDefault="003D136C" w:rsidP="00B019B3">
      <w:pPr>
        <w:pStyle w:val="NoSpacing"/>
        <w:jc w:val="center"/>
        <w:rPr>
          <w:sz w:val="24"/>
          <w:szCs w:val="24"/>
        </w:rPr>
      </w:pPr>
    </w:p>
    <w:p w:rsidR="003D136C" w:rsidRPr="001F7815" w:rsidRDefault="00B019B3" w:rsidP="00B019B3">
      <w:pPr>
        <w:pStyle w:val="NoSpacing"/>
        <w:jc w:val="center"/>
        <w:rPr>
          <w:b/>
          <w:sz w:val="24"/>
          <w:szCs w:val="24"/>
        </w:rPr>
      </w:pPr>
      <w:r w:rsidRPr="001F7815">
        <w:rPr>
          <w:b/>
          <w:sz w:val="24"/>
          <w:szCs w:val="24"/>
        </w:rPr>
        <w:t>TUTOR</w:t>
      </w:r>
    </w:p>
    <w:p w:rsidR="003D136C" w:rsidRPr="001F7815" w:rsidRDefault="00B019B3" w:rsidP="00B019B3">
      <w:pPr>
        <w:pStyle w:val="NoSpacing"/>
        <w:jc w:val="center"/>
        <w:rPr>
          <w:sz w:val="24"/>
          <w:szCs w:val="24"/>
        </w:rPr>
      </w:pPr>
      <w:r w:rsidRPr="001F7815">
        <w:rPr>
          <w:sz w:val="24"/>
          <w:szCs w:val="24"/>
        </w:rPr>
        <w:t>DIEGO A. MARÍN IDÁRRAGA</w:t>
      </w:r>
    </w:p>
    <w:p w:rsidR="003D136C" w:rsidRPr="001F7815" w:rsidRDefault="003D136C" w:rsidP="00B019B3">
      <w:pPr>
        <w:pStyle w:val="NoSpacing"/>
        <w:jc w:val="center"/>
        <w:rPr>
          <w:sz w:val="24"/>
          <w:szCs w:val="24"/>
        </w:rPr>
      </w:pPr>
    </w:p>
    <w:p w:rsidR="003D136C" w:rsidRPr="001F7815" w:rsidRDefault="003D136C" w:rsidP="00B019B3">
      <w:pPr>
        <w:pStyle w:val="NoSpacing"/>
        <w:jc w:val="center"/>
        <w:rPr>
          <w:sz w:val="24"/>
          <w:szCs w:val="24"/>
        </w:rPr>
      </w:pPr>
    </w:p>
    <w:p w:rsidR="00B019B3" w:rsidRPr="001F7815" w:rsidRDefault="00B019B3" w:rsidP="00B019B3">
      <w:pPr>
        <w:pStyle w:val="NoSpacing"/>
        <w:jc w:val="center"/>
        <w:rPr>
          <w:sz w:val="24"/>
          <w:szCs w:val="24"/>
        </w:rPr>
      </w:pPr>
    </w:p>
    <w:p w:rsidR="00B019B3" w:rsidRPr="001F7815" w:rsidRDefault="00B019B3" w:rsidP="00B019B3">
      <w:pPr>
        <w:pStyle w:val="NoSpacing"/>
        <w:jc w:val="center"/>
        <w:rPr>
          <w:sz w:val="24"/>
          <w:szCs w:val="24"/>
        </w:rPr>
      </w:pPr>
    </w:p>
    <w:p w:rsidR="00B019B3" w:rsidRPr="001F7815" w:rsidRDefault="00B019B3" w:rsidP="00B019B3">
      <w:pPr>
        <w:pStyle w:val="NoSpacing"/>
        <w:jc w:val="center"/>
        <w:rPr>
          <w:sz w:val="24"/>
          <w:szCs w:val="24"/>
        </w:rPr>
      </w:pPr>
    </w:p>
    <w:p w:rsidR="003D136C" w:rsidRPr="001F7815" w:rsidRDefault="00B019B3" w:rsidP="00B019B3">
      <w:pPr>
        <w:pStyle w:val="NoSpacing"/>
        <w:jc w:val="center"/>
        <w:rPr>
          <w:b/>
          <w:sz w:val="24"/>
          <w:szCs w:val="24"/>
        </w:rPr>
      </w:pPr>
      <w:r w:rsidRPr="001F7815">
        <w:rPr>
          <w:b/>
          <w:sz w:val="24"/>
          <w:szCs w:val="24"/>
        </w:rPr>
        <w:t>PRESENTADO POR</w:t>
      </w:r>
    </w:p>
    <w:p w:rsidR="003D136C" w:rsidRPr="001F7815" w:rsidRDefault="00B019B3" w:rsidP="00B019B3">
      <w:pPr>
        <w:pStyle w:val="NoSpacing"/>
        <w:jc w:val="center"/>
        <w:rPr>
          <w:sz w:val="24"/>
          <w:szCs w:val="24"/>
        </w:rPr>
      </w:pPr>
      <w:r w:rsidRPr="001F7815">
        <w:rPr>
          <w:sz w:val="24"/>
          <w:szCs w:val="24"/>
        </w:rPr>
        <w:t>JUAN CARLOS TOPA BAHAMÓN CÓDIGO. 79.686.972</w:t>
      </w:r>
    </w:p>
    <w:p w:rsidR="00B019B3" w:rsidRPr="001F7815" w:rsidRDefault="00B019B3" w:rsidP="00B019B3">
      <w:pPr>
        <w:pStyle w:val="NoSpacing"/>
        <w:jc w:val="center"/>
        <w:rPr>
          <w:sz w:val="24"/>
          <w:szCs w:val="24"/>
        </w:rPr>
      </w:pPr>
    </w:p>
    <w:p w:rsidR="00B019B3" w:rsidRPr="001F7815" w:rsidRDefault="00B019B3" w:rsidP="00B019B3">
      <w:pPr>
        <w:pStyle w:val="NoSpacing"/>
        <w:jc w:val="center"/>
        <w:rPr>
          <w:sz w:val="24"/>
          <w:szCs w:val="24"/>
        </w:rPr>
      </w:pPr>
    </w:p>
    <w:p w:rsidR="003D136C" w:rsidRPr="001F7815" w:rsidRDefault="003D136C" w:rsidP="00B019B3">
      <w:pPr>
        <w:pStyle w:val="NoSpacing"/>
        <w:jc w:val="center"/>
        <w:rPr>
          <w:sz w:val="24"/>
          <w:szCs w:val="24"/>
        </w:rPr>
      </w:pPr>
    </w:p>
    <w:p w:rsidR="00B019B3" w:rsidRPr="001F7815" w:rsidRDefault="00B019B3" w:rsidP="00B019B3">
      <w:pPr>
        <w:pStyle w:val="NoSpacing"/>
        <w:jc w:val="center"/>
        <w:rPr>
          <w:sz w:val="24"/>
          <w:szCs w:val="24"/>
        </w:rPr>
      </w:pPr>
    </w:p>
    <w:p w:rsidR="003D136C" w:rsidRPr="001F7815" w:rsidRDefault="00B019B3" w:rsidP="00B019B3">
      <w:pPr>
        <w:pStyle w:val="NoSpacing"/>
        <w:jc w:val="center"/>
        <w:rPr>
          <w:b/>
          <w:sz w:val="24"/>
          <w:szCs w:val="24"/>
        </w:rPr>
      </w:pPr>
      <w:r w:rsidRPr="001F7815">
        <w:rPr>
          <w:b/>
          <w:sz w:val="24"/>
          <w:szCs w:val="24"/>
        </w:rPr>
        <w:t>GRUPO</w:t>
      </w:r>
    </w:p>
    <w:p w:rsidR="003D136C" w:rsidRPr="001F7815" w:rsidRDefault="003D136C" w:rsidP="00B019B3">
      <w:pPr>
        <w:pStyle w:val="NoSpacing"/>
        <w:jc w:val="center"/>
        <w:rPr>
          <w:sz w:val="24"/>
          <w:szCs w:val="24"/>
        </w:rPr>
      </w:pPr>
      <w:r w:rsidRPr="001F7815">
        <w:rPr>
          <w:sz w:val="24"/>
          <w:szCs w:val="24"/>
        </w:rPr>
        <w:t>7121001_2</w:t>
      </w:r>
    </w:p>
    <w:p w:rsidR="00B019B3" w:rsidRPr="001F7815" w:rsidRDefault="00B019B3" w:rsidP="00B019B3">
      <w:pPr>
        <w:pStyle w:val="NoSpacing"/>
        <w:jc w:val="center"/>
        <w:rPr>
          <w:sz w:val="24"/>
          <w:szCs w:val="24"/>
        </w:rPr>
      </w:pPr>
    </w:p>
    <w:p w:rsidR="00B019B3" w:rsidRPr="001F7815" w:rsidRDefault="00B019B3" w:rsidP="00B019B3">
      <w:pPr>
        <w:pStyle w:val="NoSpacing"/>
        <w:jc w:val="center"/>
        <w:rPr>
          <w:sz w:val="24"/>
          <w:szCs w:val="24"/>
        </w:rPr>
      </w:pPr>
    </w:p>
    <w:p w:rsidR="00B019B3" w:rsidRPr="001F7815" w:rsidRDefault="00B019B3" w:rsidP="00B019B3">
      <w:pPr>
        <w:pStyle w:val="NoSpacing"/>
        <w:jc w:val="center"/>
        <w:rPr>
          <w:sz w:val="24"/>
          <w:szCs w:val="24"/>
        </w:rPr>
      </w:pPr>
    </w:p>
    <w:p w:rsidR="003D136C" w:rsidRPr="001F7815" w:rsidRDefault="003D136C" w:rsidP="00B019B3">
      <w:pPr>
        <w:pStyle w:val="NoSpacing"/>
        <w:jc w:val="center"/>
        <w:rPr>
          <w:sz w:val="24"/>
          <w:szCs w:val="24"/>
        </w:rPr>
      </w:pPr>
    </w:p>
    <w:p w:rsidR="00B019B3" w:rsidRPr="001F7815" w:rsidRDefault="00B019B3" w:rsidP="00B019B3">
      <w:pPr>
        <w:pStyle w:val="NoSpacing"/>
        <w:jc w:val="center"/>
        <w:rPr>
          <w:sz w:val="24"/>
          <w:szCs w:val="24"/>
        </w:rPr>
      </w:pPr>
    </w:p>
    <w:p w:rsidR="00B019B3" w:rsidRPr="001F7815" w:rsidRDefault="00B019B3" w:rsidP="00B019B3">
      <w:pPr>
        <w:pStyle w:val="NoSpacing"/>
        <w:jc w:val="center"/>
        <w:rPr>
          <w:sz w:val="24"/>
          <w:szCs w:val="24"/>
        </w:rPr>
      </w:pPr>
    </w:p>
    <w:p w:rsidR="00B019B3" w:rsidRPr="001F7815" w:rsidRDefault="00B019B3" w:rsidP="00B019B3">
      <w:pPr>
        <w:pStyle w:val="NoSpacing"/>
        <w:jc w:val="center"/>
        <w:rPr>
          <w:sz w:val="24"/>
          <w:szCs w:val="24"/>
        </w:rPr>
      </w:pPr>
    </w:p>
    <w:p w:rsidR="003D136C" w:rsidRPr="001F7815" w:rsidRDefault="003D136C" w:rsidP="00B019B3">
      <w:pPr>
        <w:pStyle w:val="NoSpacing"/>
        <w:jc w:val="center"/>
        <w:rPr>
          <w:sz w:val="24"/>
          <w:szCs w:val="24"/>
        </w:rPr>
      </w:pPr>
      <w:r w:rsidRPr="001F7815">
        <w:rPr>
          <w:sz w:val="24"/>
          <w:szCs w:val="24"/>
        </w:rPr>
        <w:t>UNIVERSIDAD NACIONAL ABIERTA Y A DISTANCIA</w:t>
      </w:r>
    </w:p>
    <w:p w:rsidR="003D136C" w:rsidRPr="001F7815" w:rsidRDefault="003D136C" w:rsidP="00B019B3">
      <w:pPr>
        <w:pStyle w:val="NoSpacing"/>
        <w:jc w:val="center"/>
        <w:rPr>
          <w:sz w:val="24"/>
          <w:szCs w:val="24"/>
        </w:rPr>
      </w:pPr>
      <w:r w:rsidRPr="001F7815">
        <w:rPr>
          <w:sz w:val="24"/>
          <w:szCs w:val="24"/>
        </w:rPr>
        <w:t>ESCUELA DE CIENCIAS BÁSICAS TECNOLOGÍA E INGENIERÍA</w:t>
      </w:r>
    </w:p>
    <w:p w:rsidR="003D136C" w:rsidRPr="001F7815" w:rsidRDefault="003D136C" w:rsidP="00B019B3">
      <w:pPr>
        <w:pStyle w:val="NoSpacing"/>
        <w:jc w:val="center"/>
        <w:rPr>
          <w:sz w:val="24"/>
          <w:szCs w:val="24"/>
        </w:rPr>
      </w:pPr>
      <w:r w:rsidRPr="001F7815">
        <w:rPr>
          <w:sz w:val="24"/>
          <w:szCs w:val="24"/>
        </w:rPr>
        <w:t>Noviembre de 2015</w:t>
      </w:r>
    </w:p>
    <w:p w:rsidR="003D136C" w:rsidRPr="001F7815" w:rsidRDefault="003D136C" w:rsidP="003D136C">
      <w:pPr>
        <w:pStyle w:val="NoSpacing"/>
        <w:rPr>
          <w:sz w:val="24"/>
          <w:szCs w:val="24"/>
        </w:rPr>
      </w:pPr>
    </w:p>
    <w:p w:rsidR="003D136C" w:rsidRPr="001F7815" w:rsidRDefault="003D136C" w:rsidP="003D136C">
      <w:pPr>
        <w:jc w:val="both"/>
        <w:rPr>
          <w:sz w:val="24"/>
          <w:szCs w:val="24"/>
        </w:rPr>
      </w:pPr>
    </w:p>
    <w:p w:rsidR="003D136C" w:rsidRPr="001F7815" w:rsidRDefault="003D136C" w:rsidP="003D136C">
      <w:pPr>
        <w:jc w:val="both"/>
        <w:rPr>
          <w:sz w:val="24"/>
          <w:szCs w:val="24"/>
        </w:rPr>
      </w:pPr>
    </w:p>
    <w:p w:rsidR="003D136C" w:rsidRPr="001F7815" w:rsidRDefault="003D136C" w:rsidP="003D136C">
      <w:pPr>
        <w:jc w:val="both"/>
        <w:rPr>
          <w:sz w:val="24"/>
          <w:szCs w:val="24"/>
        </w:rPr>
      </w:pPr>
    </w:p>
    <w:p w:rsidR="003D136C" w:rsidRPr="001F7815" w:rsidRDefault="003D136C" w:rsidP="003D136C">
      <w:pPr>
        <w:jc w:val="both"/>
        <w:rPr>
          <w:sz w:val="24"/>
          <w:szCs w:val="24"/>
        </w:rPr>
      </w:pPr>
    </w:p>
    <w:p w:rsidR="00DC5058" w:rsidRPr="001F7815" w:rsidRDefault="00DC5058" w:rsidP="003D136C">
      <w:pPr>
        <w:jc w:val="both"/>
        <w:rPr>
          <w:b/>
          <w:sz w:val="24"/>
          <w:szCs w:val="24"/>
        </w:rPr>
      </w:pPr>
    </w:p>
    <w:p w:rsidR="00DC5058" w:rsidRDefault="00DC5058" w:rsidP="003D136C">
      <w:pPr>
        <w:jc w:val="both"/>
        <w:rPr>
          <w:b/>
          <w:sz w:val="24"/>
          <w:szCs w:val="24"/>
        </w:rPr>
      </w:pPr>
      <w:r w:rsidRPr="001F7815">
        <w:rPr>
          <w:b/>
          <w:sz w:val="24"/>
          <w:szCs w:val="24"/>
        </w:rPr>
        <w:lastRenderedPageBreak/>
        <w:t>PREGUNTA PROBLEMATIZADORA.</w:t>
      </w:r>
    </w:p>
    <w:p w:rsidR="00DA116B" w:rsidRPr="001F7815" w:rsidRDefault="00DA116B" w:rsidP="003D13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FUENTE SECUNDARIA: </w:t>
      </w:r>
      <w:r w:rsidRPr="00DA116B">
        <w:rPr>
          <w:sz w:val="24"/>
          <w:szCs w:val="24"/>
        </w:rPr>
        <w:t>Página Web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594811611"/>
          <w:citation/>
        </w:sdtPr>
        <w:sdtEndPr/>
        <w:sdtContent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 xml:space="preserve"> CITATION Gob14 \l 9226 </w:instrText>
          </w:r>
          <w:r>
            <w:rPr>
              <w:b/>
              <w:sz w:val="24"/>
              <w:szCs w:val="24"/>
            </w:rPr>
            <w:fldChar w:fldCharType="separate"/>
          </w:r>
          <w:r w:rsidRPr="00DA116B">
            <w:rPr>
              <w:noProof/>
              <w:sz w:val="24"/>
              <w:szCs w:val="24"/>
            </w:rPr>
            <w:t>(Gobernacion de C/marca, 2014)</w:t>
          </w:r>
          <w:r>
            <w:rPr>
              <w:b/>
              <w:sz w:val="24"/>
              <w:szCs w:val="24"/>
            </w:rPr>
            <w:fldChar w:fldCharType="end"/>
          </w:r>
        </w:sdtContent>
      </w:sdt>
    </w:p>
    <w:p w:rsidR="00A50D0C" w:rsidRPr="001F7815" w:rsidRDefault="00A50D0C" w:rsidP="003D136C">
      <w:pPr>
        <w:jc w:val="both"/>
        <w:rPr>
          <w:b/>
          <w:sz w:val="24"/>
          <w:szCs w:val="24"/>
        </w:rPr>
      </w:pPr>
      <w:r w:rsidRPr="001F7815">
        <w:rPr>
          <w:b/>
          <w:sz w:val="24"/>
          <w:szCs w:val="24"/>
        </w:rPr>
        <w:t>¿Cuáles son las necesidades y políticas del departamento para suplir el déficit (deserción), la cobertura y calidad en la educación del departamento?</w:t>
      </w:r>
    </w:p>
    <w:p w:rsidR="00DC5058" w:rsidRDefault="00A00EB4" w:rsidP="003D136C">
      <w:pPr>
        <w:jc w:val="both"/>
        <w:rPr>
          <w:sz w:val="24"/>
          <w:szCs w:val="24"/>
        </w:rPr>
      </w:pPr>
      <w:r>
        <w:rPr>
          <w:sz w:val="24"/>
          <w:szCs w:val="24"/>
        </w:rPr>
        <w:t>Antes de indicar las necesidades del departamento se debe tener una idea clara de cómo se encuentra actualmente el departamento en los temas de cobertura, docencia, planteles, calidad y estado actual de la deserción estudiantil.</w:t>
      </w:r>
    </w:p>
    <w:p w:rsidR="00A00EB4" w:rsidRDefault="00A00EB4" w:rsidP="00A00EB4">
      <w:pPr>
        <w:jc w:val="both"/>
        <w:rPr>
          <w:sz w:val="24"/>
          <w:szCs w:val="24"/>
        </w:rPr>
      </w:pPr>
      <w:r>
        <w:rPr>
          <w:sz w:val="24"/>
          <w:szCs w:val="24"/>
        </w:rPr>
        <w:t>Por ello p</w:t>
      </w:r>
      <w:r w:rsidRPr="001F7815">
        <w:rPr>
          <w:sz w:val="24"/>
          <w:szCs w:val="24"/>
        </w:rPr>
        <w:t xml:space="preserve">ara poder determinar </w:t>
      </w:r>
      <w:r>
        <w:rPr>
          <w:sz w:val="24"/>
          <w:szCs w:val="24"/>
        </w:rPr>
        <w:t>el estado actual de la</w:t>
      </w:r>
      <w:r w:rsidRPr="001F7815">
        <w:rPr>
          <w:sz w:val="24"/>
          <w:szCs w:val="24"/>
        </w:rPr>
        <w:t xml:space="preserve"> educación en el departamento de Cundinamarca se tiene como base los datos del SISBEN de 2012, la cual tiene como fuente la gobernación para determinar la cobertura en diferentes ámbitos.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 el análisis es el siguiente:</w:t>
      </w:r>
      <w:bookmarkStart w:id="0" w:name="_GoBack"/>
      <w:bookmarkEnd w:id="0"/>
    </w:p>
    <w:p w:rsidR="00F36CC3" w:rsidRPr="001F7815" w:rsidRDefault="00F36CC3" w:rsidP="00F36CC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F7815">
        <w:rPr>
          <w:b/>
          <w:sz w:val="24"/>
          <w:szCs w:val="24"/>
        </w:rPr>
        <w:t>Cobertura</w:t>
      </w:r>
    </w:p>
    <w:p w:rsidR="00F36CC3" w:rsidRPr="001F7815" w:rsidRDefault="00F36CC3" w:rsidP="00F36CC3">
      <w:pPr>
        <w:jc w:val="both"/>
        <w:rPr>
          <w:sz w:val="24"/>
          <w:szCs w:val="24"/>
        </w:rPr>
      </w:pPr>
      <w:r w:rsidRPr="001F7815">
        <w:rPr>
          <w:sz w:val="24"/>
          <w:szCs w:val="24"/>
        </w:rPr>
        <w:t>Para la gobernación una de sus metas principales es incrementar la cobertura de la educación a nivel urbano y rural de cada uno de sus 116 municipios.</w:t>
      </w:r>
    </w:p>
    <w:p w:rsidR="001018C0" w:rsidRPr="001F7815" w:rsidRDefault="001018C0" w:rsidP="00F36CC3">
      <w:pPr>
        <w:jc w:val="both"/>
        <w:rPr>
          <w:sz w:val="24"/>
          <w:szCs w:val="24"/>
        </w:rPr>
      </w:pPr>
      <w:r w:rsidRPr="001F7815">
        <w:rPr>
          <w:sz w:val="24"/>
          <w:szCs w:val="24"/>
        </w:rPr>
        <w:t>Para lo anterior diseña una</w:t>
      </w:r>
      <w:r w:rsidR="00FF369E" w:rsidRPr="001F7815">
        <w:rPr>
          <w:sz w:val="24"/>
          <w:szCs w:val="24"/>
        </w:rPr>
        <w:t>s</w:t>
      </w:r>
      <w:r w:rsidRPr="001F7815">
        <w:rPr>
          <w:sz w:val="24"/>
          <w:szCs w:val="24"/>
        </w:rPr>
        <w:t xml:space="preserve"> políticas públicas para poder medir y seguir los indicadores de cobertura en educación.</w:t>
      </w:r>
    </w:p>
    <w:p w:rsidR="00FF369E" w:rsidRPr="001F7815" w:rsidRDefault="00FF369E" w:rsidP="00F36CC3">
      <w:pPr>
        <w:jc w:val="both"/>
        <w:rPr>
          <w:sz w:val="24"/>
          <w:szCs w:val="24"/>
        </w:rPr>
      </w:pPr>
      <w:r w:rsidRPr="001F7815">
        <w:rPr>
          <w:sz w:val="24"/>
          <w:szCs w:val="24"/>
        </w:rPr>
        <w:t>Como se mencionó en la introducción para el SISBÉN de 2012 el 57,79% de la población tenía educación primaria y solo el 5,04% tenía estudios técnicos, tecnológicos, profesionales o superiores.</w:t>
      </w:r>
    </w:p>
    <w:p w:rsidR="00F36CC3" w:rsidRPr="001F7815" w:rsidRDefault="0067737C" w:rsidP="0067737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F7815">
        <w:rPr>
          <w:b/>
          <w:sz w:val="24"/>
          <w:szCs w:val="24"/>
        </w:rPr>
        <w:t>Docentes</w:t>
      </w:r>
    </w:p>
    <w:p w:rsidR="0067737C" w:rsidRPr="001F7815" w:rsidRDefault="0067737C" w:rsidP="0067737C">
      <w:pPr>
        <w:jc w:val="both"/>
        <w:rPr>
          <w:sz w:val="24"/>
          <w:szCs w:val="24"/>
        </w:rPr>
      </w:pPr>
      <w:r w:rsidRPr="001F7815">
        <w:rPr>
          <w:sz w:val="24"/>
          <w:szCs w:val="24"/>
        </w:rPr>
        <w:t xml:space="preserve">Para la vigencia 2012 “Según la Secretaría de Educación de Cundinamarca” </w:t>
      </w:r>
      <w:proofErr w:type="gramStart"/>
      <w:r w:rsidRPr="001F7815">
        <w:rPr>
          <w:sz w:val="24"/>
          <w:szCs w:val="24"/>
        </w:rPr>
        <w:t>habían</w:t>
      </w:r>
      <w:proofErr w:type="gramEnd"/>
      <w:r w:rsidRPr="001F7815">
        <w:rPr>
          <w:sz w:val="24"/>
          <w:szCs w:val="24"/>
        </w:rPr>
        <w:t xml:space="preserve"> 15.266 docentes indicando que habían 39,2 alumnos por docente.</w:t>
      </w:r>
    </w:p>
    <w:p w:rsidR="00302D4D" w:rsidRPr="001F7815" w:rsidRDefault="00302D4D" w:rsidP="00302D4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F7815">
        <w:rPr>
          <w:b/>
          <w:sz w:val="24"/>
          <w:szCs w:val="24"/>
        </w:rPr>
        <w:t>Establecimientos educativos.</w:t>
      </w:r>
    </w:p>
    <w:p w:rsidR="00302D4D" w:rsidRPr="001F7815" w:rsidRDefault="00763F2D" w:rsidP="00302D4D">
      <w:pPr>
        <w:jc w:val="both"/>
        <w:rPr>
          <w:sz w:val="24"/>
          <w:szCs w:val="24"/>
        </w:rPr>
      </w:pPr>
      <w:r w:rsidRPr="001F7815">
        <w:rPr>
          <w:sz w:val="24"/>
          <w:szCs w:val="24"/>
        </w:rPr>
        <w:t>En el departamento existían 1150 establecimientos educativos de los cuales 67,83% eran de carácter no oficial. En el departamento existen 370 establecimientos oficiales. Igualmente se indica que existen un promedio de alumnos de 517 por plantel.</w:t>
      </w:r>
    </w:p>
    <w:p w:rsidR="00787DB9" w:rsidRPr="001F7815" w:rsidRDefault="00787DB9" w:rsidP="00302D4D">
      <w:pPr>
        <w:jc w:val="both"/>
        <w:rPr>
          <w:sz w:val="24"/>
          <w:szCs w:val="24"/>
        </w:rPr>
      </w:pPr>
      <w:r w:rsidRPr="001F7815">
        <w:rPr>
          <w:sz w:val="24"/>
          <w:szCs w:val="24"/>
        </w:rPr>
        <w:t>Es de impor</w:t>
      </w:r>
      <w:r w:rsidR="006916DC" w:rsidRPr="001F7815">
        <w:rPr>
          <w:sz w:val="24"/>
          <w:szCs w:val="24"/>
        </w:rPr>
        <w:t>tancia indicar que los planteles</w:t>
      </w:r>
      <w:r w:rsidRPr="001F7815">
        <w:rPr>
          <w:sz w:val="24"/>
          <w:szCs w:val="24"/>
        </w:rPr>
        <w:t xml:space="preserve"> educativos oficiales han decrecido</w:t>
      </w:r>
      <w:r w:rsidR="006916DC" w:rsidRPr="001F7815">
        <w:rPr>
          <w:sz w:val="24"/>
          <w:szCs w:val="24"/>
        </w:rPr>
        <w:t>, como lo indica la siguiente gráfica.</w:t>
      </w:r>
    </w:p>
    <w:p w:rsidR="00787DB9" w:rsidRPr="001F7815" w:rsidRDefault="00787DB9" w:rsidP="00787DB9">
      <w:pPr>
        <w:pStyle w:val="NoSpacing"/>
        <w:jc w:val="center"/>
        <w:rPr>
          <w:sz w:val="24"/>
          <w:szCs w:val="24"/>
        </w:rPr>
      </w:pPr>
      <w:r w:rsidRPr="001F7815">
        <w:rPr>
          <w:noProof/>
          <w:sz w:val="24"/>
          <w:szCs w:val="24"/>
          <w:lang w:eastAsia="es-CO"/>
        </w:rPr>
        <w:lastRenderedPageBreak/>
        <w:drawing>
          <wp:inline distT="0" distB="0" distL="0" distR="0" wp14:anchorId="44DD0592" wp14:editId="6E2B8DF9">
            <wp:extent cx="4552950" cy="271902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96" cy="271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B9" w:rsidRPr="001F7815" w:rsidRDefault="00787DB9" w:rsidP="00787DB9">
      <w:pPr>
        <w:pStyle w:val="NoSpacing"/>
        <w:jc w:val="center"/>
        <w:rPr>
          <w:sz w:val="20"/>
          <w:szCs w:val="20"/>
        </w:rPr>
      </w:pPr>
      <w:r w:rsidRPr="001F7815">
        <w:rPr>
          <w:sz w:val="20"/>
          <w:szCs w:val="20"/>
        </w:rPr>
        <w:t xml:space="preserve">Fuente: </w:t>
      </w:r>
      <w:sdt>
        <w:sdtPr>
          <w:rPr>
            <w:sz w:val="20"/>
            <w:szCs w:val="20"/>
          </w:rPr>
          <w:id w:val="1856922984"/>
          <w:citation/>
        </w:sdtPr>
        <w:sdtEndPr/>
        <w:sdtContent>
          <w:r w:rsidR="00714E85" w:rsidRPr="001F7815">
            <w:rPr>
              <w:sz w:val="20"/>
              <w:szCs w:val="20"/>
            </w:rPr>
            <w:fldChar w:fldCharType="begin"/>
          </w:r>
          <w:r w:rsidR="00714E85" w:rsidRPr="001F7815">
            <w:rPr>
              <w:sz w:val="20"/>
              <w:szCs w:val="20"/>
            </w:rPr>
            <w:instrText xml:space="preserve"> CITATION Gob14 \l 9226 </w:instrText>
          </w:r>
          <w:r w:rsidR="00714E85" w:rsidRPr="001F7815">
            <w:rPr>
              <w:sz w:val="20"/>
              <w:szCs w:val="20"/>
            </w:rPr>
            <w:fldChar w:fldCharType="separate"/>
          </w:r>
          <w:r w:rsidR="00714E85" w:rsidRPr="001F7815">
            <w:rPr>
              <w:noProof/>
              <w:sz w:val="20"/>
              <w:szCs w:val="20"/>
            </w:rPr>
            <w:t>(Gobernacion de C/marca, 2014)</w:t>
          </w:r>
          <w:r w:rsidR="00714E85" w:rsidRPr="001F7815">
            <w:rPr>
              <w:sz w:val="20"/>
              <w:szCs w:val="20"/>
            </w:rPr>
            <w:fldChar w:fldCharType="end"/>
          </w:r>
        </w:sdtContent>
      </w:sdt>
    </w:p>
    <w:p w:rsidR="00787DB9" w:rsidRPr="001F7815" w:rsidRDefault="00787DB9" w:rsidP="00787DB9">
      <w:pPr>
        <w:pStyle w:val="NoSpacing"/>
        <w:rPr>
          <w:sz w:val="24"/>
          <w:szCs w:val="24"/>
        </w:rPr>
      </w:pPr>
    </w:p>
    <w:p w:rsidR="00787DB9" w:rsidRPr="001F7815" w:rsidRDefault="00714E85" w:rsidP="00714E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F7815">
        <w:rPr>
          <w:b/>
          <w:sz w:val="24"/>
          <w:szCs w:val="24"/>
        </w:rPr>
        <w:t>Calidad</w:t>
      </w:r>
    </w:p>
    <w:p w:rsidR="00714E85" w:rsidRPr="001F7815" w:rsidRDefault="00714E85" w:rsidP="00714E85">
      <w:pPr>
        <w:pStyle w:val="NoSpacing"/>
        <w:rPr>
          <w:sz w:val="24"/>
          <w:szCs w:val="24"/>
        </w:rPr>
      </w:pPr>
    </w:p>
    <w:p w:rsidR="00714E85" w:rsidRPr="001F7815" w:rsidRDefault="00714E85" w:rsidP="00714E85">
      <w:pPr>
        <w:pStyle w:val="NoSpacing"/>
        <w:rPr>
          <w:sz w:val="24"/>
          <w:szCs w:val="24"/>
        </w:rPr>
      </w:pPr>
      <w:r w:rsidRPr="001F7815">
        <w:rPr>
          <w:sz w:val="24"/>
          <w:szCs w:val="24"/>
        </w:rPr>
        <w:t>De la mano de la cobertura debe ir la calidad de la educación</w:t>
      </w:r>
      <w:r w:rsidR="009D6E12" w:rsidRPr="001F7815">
        <w:rPr>
          <w:sz w:val="24"/>
          <w:szCs w:val="24"/>
        </w:rPr>
        <w:t xml:space="preserve"> en donde las 540 instituciones se registraron para presentar las pruebas saber  11</w:t>
      </w:r>
      <w:r w:rsidR="00784E4C" w:rsidRPr="001F7815">
        <w:rPr>
          <w:sz w:val="24"/>
          <w:szCs w:val="24"/>
        </w:rPr>
        <w:t>. De los cuales 325 eran de carácter oficial y 215 no oficiales.</w:t>
      </w:r>
    </w:p>
    <w:p w:rsidR="00E402E3" w:rsidRDefault="00E402E3" w:rsidP="00714E85">
      <w:pPr>
        <w:pStyle w:val="NoSpacing"/>
        <w:rPr>
          <w:sz w:val="24"/>
          <w:szCs w:val="24"/>
        </w:rPr>
      </w:pPr>
    </w:p>
    <w:p w:rsidR="004041C8" w:rsidRPr="001F7815" w:rsidRDefault="004041C8" w:rsidP="00714E85">
      <w:pPr>
        <w:pStyle w:val="NoSpacing"/>
        <w:rPr>
          <w:sz w:val="24"/>
          <w:szCs w:val="24"/>
        </w:rPr>
      </w:pPr>
      <w:r w:rsidRPr="001F7815">
        <w:rPr>
          <w:sz w:val="24"/>
          <w:szCs w:val="24"/>
        </w:rPr>
        <w:t>Los resultados fueron los siguientes:</w:t>
      </w:r>
    </w:p>
    <w:p w:rsidR="004041C8" w:rsidRPr="001F7815" w:rsidRDefault="004041C8" w:rsidP="00E402E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7815">
        <w:rPr>
          <w:sz w:val="24"/>
          <w:szCs w:val="24"/>
        </w:rPr>
        <w:t xml:space="preserve">5 obtuvieron nivel inferior </w:t>
      </w:r>
    </w:p>
    <w:p w:rsidR="004041C8" w:rsidRPr="001F7815" w:rsidRDefault="004041C8" w:rsidP="00E402E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7815">
        <w:rPr>
          <w:sz w:val="24"/>
          <w:szCs w:val="24"/>
        </w:rPr>
        <w:t>64 en nivel bajo</w:t>
      </w:r>
    </w:p>
    <w:p w:rsidR="004041C8" w:rsidRPr="001F7815" w:rsidRDefault="004041C8" w:rsidP="00E402E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7815">
        <w:rPr>
          <w:sz w:val="24"/>
          <w:szCs w:val="24"/>
        </w:rPr>
        <w:t>162 en nivel medio</w:t>
      </w:r>
    </w:p>
    <w:p w:rsidR="004041C8" w:rsidRPr="001F7815" w:rsidRDefault="004041C8" w:rsidP="00E402E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7815">
        <w:rPr>
          <w:sz w:val="24"/>
          <w:szCs w:val="24"/>
        </w:rPr>
        <w:t>155 nivel alto</w:t>
      </w:r>
    </w:p>
    <w:p w:rsidR="004041C8" w:rsidRPr="001F7815" w:rsidRDefault="004041C8" w:rsidP="00E402E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7815">
        <w:rPr>
          <w:sz w:val="24"/>
          <w:szCs w:val="24"/>
        </w:rPr>
        <w:t>91 en nivel superior</w:t>
      </w:r>
    </w:p>
    <w:p w:rsidR="004041C8" w:rsidRDefault="004041C8" w:rsidP="00E402E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7815">
        <w:rPr>
          <w:sz w:val="24"/>
          <w:szCs w:val="24"/>
        </w:rPr>
        <w:t>63 en nivel muy superior</w:t>
      </w:r>
    </w:p>
    <w:p w:rsidR="00842272" w:rsidRDefault="00842272" w:rsidP="00842272">
      <w:pPr>
        <w:pStyle w:val="NoSpacing"/>
        <w:ind w:left="720"/>
        <w:rPr>
          <w:sz w:val="24"/>
          <w:szCs w:val="24"/>
        </w:rPr>
      </w:pPr>
    </w:p>
    <w:p w:rsidR="00E402E3" w:rsidRDefault="00E402E3" w:rsidP="00E402E3">
      <w:pPr>
        <w:pStyle w:val="NoSpacing"/>
        <w:rPr>
          <w:sz w:val="24"/>
          <w:szCs w:val="24"/>
        </w:rPr>
      </w:pPr>
    </w:p>
    <w:p w:rsidR="00535BA8" w:rsidRPr="00535BA8" w:rsidRDefault="00535BA8" w:rsidP="00535BA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535BA8">
        <w:rPr>
          <w:b/>
          <w:sz w:val="24"/>
          <w:szCs w:val="24"/>
        </w:rPr>
        <w:t>Deserción estudiantil</w:t>
      </w:r>
    </w:p>
    <w:p w:rsidR="00535BA8" w:rsidRDefault="00535BA8" w:rsidP="00535BA8">
      <w:pPr>
        <w:pStyle w:val="NoSpacing"/>
        <w:rPr>
          <w:sz w:val="24"/>
          <w:szCs w:val="24"/>
        </w:rPr>
      </w:pPr>
    </w:p>
    <w:p w:rsidR="00BD2E2F" w:rsidRDefault="00505DE8" w:rsidP="00535B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 des</w:t>
      </w:r>
      <w:r w:rsidR="00BD2E2F">
        <w:rPr>
          <w:sz w:val="24"/>
          <w:szCs w:val="24"/>
        </w:rPr>
        <w:t>er</w:t>
      </w:r>
      <w:r>
        <w:rPr>
          <w:sz w:val="24"/>
          <w:szCs w:val="24"/>
        </w:rPr>
        <w:t>tificación estudiantil en el departamento de Cundinamarca es baja y media con un 42% un total de 98 municipios, la deserción alta en un 9% en solo 11 municipios.</w:t>
      </w:r>
    </w:p>
    <w:p w:rsidR="00842272" w:rsidRDefault="00842272" w:rsidP="00535BA8">
      <w:pPr>
        <w:pStyle w:val="NoSpacing"/>
        <w:rPr>
          <w:sz w:val="24"/>
          <w:szCs w:val="24"/>
        </w:rPr>
      </w:pPr>
    </w:p>
    <w:p w:rsidR="00842272" w:rsidRDefault="00842272" w:rsidP="00535B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 base utilizada para los cálculos de deserción es la publicada en la página de la gobernación </w:t>
      </w:r>
      <w:sdt>
        <w:sdtPr>
          <w:rPr>
            <w:sz w:val="24"/>
            <w:szCs w:val="24"/>
          </w:rPr>
          <w:id w:val="-780342167"/>
          <w:citation/>
        </w:sdtPr>
        <w:sdtEndPr/>
        <w:sdtContent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CITATION Gob14 \l 9226 </w:instrText>
          </w:r>
          <w:r>
            <w:rPr>
              <w:sz w:val="24"/>
              <w:szCs w:val="24"/>
            </w:rPr>
            <w:fldChar w:fldCharType="separate"/>
          </w:r>
          <w:r w:rsidRPr="00842272">
            <w:rPr>
              <w:noProof/>
              <w:sz w:val="24"/>
              <w:szCs w:val="24"/>
            </w:rPr>
            <w:t>(Gobernacion de C/marca, 2014)</w:t>
          </w:r>
          <w:r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</w:p>
    <w:p w:rsidR="00505DE8" w:rsidRDefault="00505DE8" w:rsidP="00535BA8">
      <w:pPr>
        <w:pStyle w:val="NoSpacing"/>
        <w:rPr>
          <w:sz w:val="24"/>
          <w:szCs w:val="24"/>
        </w:rPr>
      </w:pPr>
    </w:p>
    <w:p w:rsidR="00505DE8" w:rsidRDefault="00505DE8" w:rsidP="00535BA8">
      <w:pPr>
        <w:pStyle w:val="NoSpacing"/>
        <w:rPr>
          <w:sz w:val="24"/>
          <w:szCs w:val="24"/>
        </w:rPr>
      </w:pPr>
    </w:p>
    <w:tbl>
      <w:tblPr>
        <w:tblW w:w="6267" w:type="dxa"/>
        <w:jc w:val="center"/>
        <w:tblInd w:w="-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1256"/>
        <w:gridCol w:w="1289"/>
      </w:tblGrid>
      <w:tr w:rsidR="00505DE8" w:rsidRPr="00373621" w:rsidTr="005B1A6D">
        <w:trPr>
          <w:trHeight w:val="300"/>
          <w:jc w:val="center"/>
        </w:trPr>
        <w:tc>
          <w:tcPr>
            <w:tcW w:w="3722" w:type="dxa"/>
            <w:shd w:val="clear" w:color="auto" w:fill="D9D9D9" w:themeFill="background1" w:themeFillShade="D9"/>
          </w:tcPr>
          <w:p w:rsidR="00505DE8" w:rsidRDefault="00505DE8" w:rsidP="005B1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= DESERCION </w:t>
            </w:r>
            <w:r w:rsidRPr="005B1A6D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/</w:t>
            </w:r>
            <w:r w:rsidR="005B1A6D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TOTAL MATRICULADOS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bottom"/>
          </w:tcPr>
          <w:p w:rsidR="00505DE8" w:rsidRPr="00373621" w:rsidRDefault="00505DE8" w:rsidP="005B1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MUNICIPIOS</w:t>
            </w:r>
          </w:p>
        </w:tc>
        <w:tc>
          <w:tcPr>
            <w:tcW w:w="1289" w:type="dxa"/>
            <w:shd w:val="clear" w:color="auto" w:fill="D9D9D9" w:themeFill="background1" w:themeFillShade="D9"/>
            <w:noWrap/>
            <w:vAlign w:val="bottom"/>
          </w:tcPr>
          <w:p w:rsidR="00505DE8" w:rsidRPr="00373621" w:rsidRDefault="00505DE8" w:rsidP="005B1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DESCERCIÓN</w:t>
            </w:r>
          </w:p>
        </w:tc>
      </w:tr>
      <w:tr w:rsidR="00505DE8" w:rsidRPr="00373621" w:rsidTr="005B1A6D">
        <w:trPr>
          <w:trHeight w:val="300"/>
          <w:jc w:val="center"/>
        </w:trPr>
        <w:tc>
          <w:tcPr>
            <w:tcW w:w="3722" w:type="dxa"/>
          </w:tcPr>
          <w:p w:rsidR="00505DE8" w:rsidRPr="00373621" w:rsidRDefault="00505DE8" w:rsidP="00373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&lt;5% ES BAJO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05DE8" w:rsidRPr="00373621" w:rsidRDefault="00505DE8" w:rsidP="00373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73621">
              <w:rPr>
                <w:rFonts w:ascii="Calibri" w:eastAsia="Times New Roman" w:hAnsi="Calibri" w:cs="Times New Roman"/>
                <w:color w:val="000000"/>
                <w:lang w:eastAsia="es-CO"/>
              </w:rPr>
              <w:t>49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505DE8" w:rsidRPr="00373621" w:rsidRDefault="00505DE8" w:rsidP="00373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73621">
              <w:rPr>
                <w:rFonts w:ascii="Calibri" w:eastAsia="Times New Roman" w:hAnsi="Calibri" w:cs="Times New Roman"/>
                <w:color w:val="000000"/>
                <w:lang w:eastAsia="es-CO"/>
              </w:rPr>
              <w:t>42%</w:t>
            </w:r>
          </w:p>
        </w:tc>
      </w:tr>
      <w:tr w:rsidR="00505DE8" w:rsidRPr="00373621" w:rsidTr="005B1A6D">
        <w:trPr>
          <w:trHeight w:val="300"/>
          <w:jc w:val="center"/>
        </w:trPr>
        <w:tc>
          <w:tcPr>
            <w:tcW w:w="3722" w:type="dxa"/>
          </w:tcPr>
          <w:p w:rsidR="00505DE8" w:rsidRPr="00373621" w:rsidRDefault="00505DE8" w:rsidP="00373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ENTRE 5% Y 10% ES MEDIO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05DE8" w:rsidRPr="00373621" w:rsidRDefault="00505DE8" w:rsidP="00373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73621">
              <w:rPr>
                <w:rFonts w:ascii="Calibri" w:eastAsia="Times New Roman" w:hAnsi="Calibri" w:cs="Times New Roman"/>
                <w:color w:val="000000"/>
                <w:lang w:eastAsia="es-CO"/>
              </w:rPr>
              <w:t>49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505DE8" w:rsidRPr="00373621" w:rsidRDefault="00505DE8" w:rsidP="00373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73621">
              <w:rPr>
                <w:rFonts w:ascii="Calibri" w:eastAsia="Times New Roman" w:hAnsi="Calibri" w:cs="Times New Roman"/>
                <w:color w:val="000000"/>
                <w:lang w:eastAsia="es-CO"/>
              </w:rPr>
              <w:t>42%</w:t>
            </w:r>
          </w:p>
        </w:tc>
      </w:tr>
      <w:tr w:rsidR="00505DE8" w:rsidRPr="00373621" w:rsidTr="005B1A6D">
        <w:trPr>
          <w:trHeight w:val="300"/>
          <w:jc w:val="center"/>
        </w:trPr>
        <w:tc>
          <w:tcPr>
            <w:tcW w:w="3722" w:type="dxa"/>
          </w:tcPr>
          <w:p w:rsidR="00505DE8" w:rsidRPr="00373621" w:rsidRDefault="00505DE8" w:rsidP="00373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&gt;10% ES ALTO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05DE8" w:rsidRPr="00373621" w:rsidRDefault="00505DE8" w:rsidP="00373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73621"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505DE8" w:rsidRPr="00373621" w:rsidRDefault="00505DE8" w:rsidP="00373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73621">
              <w:rPr>
                <w:rFonts w:ascii="Calibri" w:eastAsia="Times New Roman" w:hAnsi="Calibri" w:cs="Times New Roman"/>
                <w:color w:val="000000"/>
                <w:lang w:eastAsia="es-CO"/>
              </w:rPr>
              <w:t>9%</w:t>
            </w:r>
          </w:p>
        </w:tc>
      </w:tr>
      <w:tr w:rsidR="00505DE8" w:rsidRPr="00373621" w:rsidTr="005B1A6D">
        <w:trPr>
          <w:trHeight w:val="300"/>
          <w:jc w:val="center"/>
        </w:trPr>
        <w:tc>
          <w:tcPr>
            <w:tcW w:w="3722" w:type="dxa"/>
          </w:tcPr>
          <w:p w:rsidR="00505DE8" w:rsidRPr="00373621" w:rsidRDefault="00505DE8" w:rsidP="00373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SIN DATO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05DE8" w:rsidRPr="00373621" w:rsidRDefault="00505DE8" w:rsidP="00373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73621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505DE8" w:rsidRPr="00373621" w:rsidRDefault="00505DE8" w:rsidP="00373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73621">
              <w:rPr>
                <w:rFonts w:ascii="Calibri" w:eastAsia="Times New Roman" w:hAnsi="Calibri" w:cs="Times New Roman"/>
                <w:color w:val="000000"/>
                <w:lang w:eastAsia="es-CO"/>
              </w:rPr>
              <w:t>6%</w:t>
            </w:r>
          </w:p>
        </w:tc>
      </w:tr>
    </w:tbl>
    <w:p w:rsidR="00373621" w:rsidRDefault="00BD2E2F" w:rsidP="00BD2E2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Fuente: Cálculos propios</w:t>
      </w:r>
      <w:r w:rsidR="005B1A6D">
        <w:rPr>
          <w:sz w:val="24"/>
          <w:szCs w:val="24"/>
        </w:rPr>
        <w:t xml:space="preserve"> (deserción/total matriculados)</w:t>
      </w:r>
    </w:p>
    <w:p w:rsidR="005B1A6D" w:rsidRDefault="005B1A6D" w:rsidP="00BD2E2F">
      <w:pPr>
        <w:pStyle w:val="NoSpacing"/>
        <w:jc w:val="center"/>
        <w:rPr>
          <w:sz w:val="24"/>
          <w:szCs w:val="24"/>
        </w:rPr>
      </w:pPr>
    </w:p>
    <w:p w:rsidR="00BD2E2F" w:rsidRDefault="00505DE8" w:rsidP="00BD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 evidencia que la deserción </w:t>
      </w:r>
      <w:r w:rsidR="005B1A6D">
        <w:rPr>
          <w:sz w:val="24"/>
          <w:szCs w:val="24"/>
        </w:rPr>
        <w:t>BAJA</w:t>
      </w:r>
      <w:r>
        <w:rPr>
          <w:sz w:val="24"/>
          <w:szCs w:val="24"/>
        </w:rPr>
        <w:t xml:space="preserve"> está</w:t>
      </w:r>
      <w:r w:rsidR="005B1A6D">
        <w:rPr>
          <w:sz w:val="24"/>
          <w:szCs w:val="24"/>
        </w:rPr>
        <w:t xml:space="preserve"> concentrada en los alrededores de la ciudad de Bogotá, y la deserción media y alta se encuentra en la frontera del departamento.</w:t>
      </w:r>
    </w:p>
    <w:p w:rsidR="00373621" w:rsidRDefault="005F57BD" w:rsidP="00373621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drawing>
          <wp:inline distT="0" distB="0" distL="0" distR="0" wp14:anchorId="4DE448B3">
            <wp:extent cx="4810085" cy="58007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9" b="3369"/>
                    <a:stretch/>
                  </pic:blipFill>
                  <pic:spPr bwMode="auto">
                    <a:xfrm>
                      <a:off x="0" y="0"/>
                      <a:ext cx="4812610" cy="58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DEF" w:rsidRDefault="00946957" w:rsidP="0037362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Fuente: Dibujo propio hecho con</w:t>
      </w:r>
      <w:r w:rsidR="00DF1DEF">
        <w:rPr>
          <w:sz w:val="24"/>
          <w:szCs w:val="24"/>
        </w:rPr>
        <w:t xml:space="preserve"> la herramienta </w:t>
      </w:r>
      <w:proofErr w:type="spellStart"/>
      <w:r w:rsidR="00DF1DEF">
        <w:rPr>
          <w:sz w:val="24"/>
          <w:szCs w:val="24"/>
        </w:rPr>
        <w:t>ArcGis</w:t>
      </w:r>
      <w:proofErr w:type="spellEnd"/>
      <w:r w:rsidR="00DF1DEF">
        <w:rPr>
          <w:sz w:val="24"/>
          <w:szCs w:val="24"/>
        </w:rPr>
        <w:t xml:space="preserve"> 10.1</w:t>
      </w:r>
    </w:p>
    <w:p w:rsidR="00A00EB4" w:rsidRDefault="00A00EB4">
      <w:pPr>
        <w:rPr>
          <w:sz w:val="24"/>
          <w:szCs w:val="24"/>
        </w:rPr>
      </w:pPr>
    </w:p>
    <w:p w:rsidR="004C2E51" w:rsidRDefault="00A00EB4" w:rsidP="00A00EB4">
      <w:pPr>
        <w:jc w:val="both"/>
        <w:rPr>
          <w:sz w:val="24"/>
          <w:szCs w:val="24"/>
        </w:rPr>
      </w:pPr>
      <w:r>
        <w:rPr>
          <w:sz w:val="24"/>
          <w:szCs w:val="24"/>
        </w:rPr>
        <w:t>Como conclusión l</w:t>
      </w:r>
      <w:r w:rsidRPr="001F7815">
        <w:rPr>
          <w:sz w:val="24"/>
          <w:szCs w:val="24"/>
        </w:rPr>
        <w:t>a educación</w:t>
      </w:r>
      <w:r>
        <w:rPr>
          <w:sz w:val="24"/>
          <w:szCs w:val="24"/>
        </w:rPr>
        <w:t xml:space="preserve"> en el departamento</w:t>
      </w:r>
      <w:r w:rsidRPr="001F7815">
        <w:rPr>
          <w:sz w:val="24"/>
          <w:szCs w:val="24"/>
        </w:rPr>
        <w:t xml:space="preserve"> es un proceso continuo que requiere implementar mejoras logísticas, fortalecer el bilingüismo, articular la educación media con la técnica, tecnológica y profesional. Lo más importante es que la educación sea </w:t>
      </w:r>
      <w:r w:rsidRPr="001F7815">
        <w:rPr>
          <w:sz w:val="24"/>
          <w:szCs w:val="24"/>
        </w:rPr>
        <w:lastRenderedPageBreak/>
        <w:t>incluyente y participativa, fomentar la innovación e impulsar el uso de las tecnologías de la información y las comunicaciones.</w:t>
      </w:r>
      <w:r w:rsidRPr="001F7815">
        <w:rPr>
          <w:sz w:val="24"/>
          <w:szCs w:val="24"/>
        </w:rPr>
        <w:cr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1100918814"/>
        <w:docPartObj>
          <w:docPartGallery w:val="Bibliographies"/>
          <w:docPartUnique/>
        </w:docPartObj>
      </w:sdtPr>
      <w:sdtEndPr>
        <w:rPr>
          <w:lang w:val="es-CO"/>
        </w:rPr>
      </w:sdtEndPr>
      <w:sdtContent>
        <w:p w:rsidR="004C2E51" w:rsidRDefault="004C2E51">
          <w:pPr>
            <w:pStyle w:val="Heading1"/>
            <w:rPr>
              <w:lang w:val="es-ES"/>
            </w:rPr>
          </w:pPr>
          <w:r>
            <w:rPr>
              <w:lang w:val="es-ES"/>
            </w:rPr>
            <w:t>Bibliografía</w:t>
          </w:r>
        </w:p>
        <w:p w:rsidR="004C2E51" w:rsidRPr="004C2E51" w:rsidRDefault="004C2E51" w:rsidP="004C2E51">
          <w:pPr>
            <w:rPr>
              <w:lang w:val="es-ES" w:eastAsia="es-CO"/>
            </w:rPr>
          </w:pPr>
        </w:p>
        <w:sdt>
          <w:sdtPr>
            <w:id w:val="111145805"/>
            <w:bibliography/>
          </w:sdtPr>
          <w:sdtEndPr/>
          <w:sdtContent>
            <w:p w:rsidR="004C2E51" w:rsidRDefault="004C2E51" w:rsidP="004C2E51">
              <w:pPr>
                <w:pStyle w:val="Bibliography"/>
                <w:ind w:left="720" w:hanging="720"/>
                <w:rPr>
                  <w:noProof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Gobernacion de C/marca. (2014). </w:t>
              </w:r>
              <w:r>
                <w:rPr>
                  <w:i/>
                  <w:iCs/>
                  <w:noProof/>
                  <w:lang w:val="es-ES"/>
                </w:rPr>
                <w:t>Estadísticas de Cundinamarca 2011-2013.</w:t>
              </w:r>
              <w:r>
                <w:rPr>
                  <w:noProof/>
                  <w:lang w:val="es-ES"/>
                </w:rPr>
                <w:t xml:space="preserve"> Recuperado el 7 de noviembre de 2015, de http://www.cundinamarca.gov.co/wps/wcm/connect/04aecefa-79d0-4a3c-be08-9440023c225a/TACO+estadisticas+cundinamarca+Publicaci%C3%B3n+WEB.compressed.pdf?MOD=AJPERES</w:t>
              </w:r>
            </w:p>
            <w:p w:rsidR="004C2E51" w:rsidRDefault="004C2E51" w:rsidP="004C2E51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4C2E51" w:rsidRPr="001F7815" w:rsidRDefault="004C2E51" w:rsidP="00E402E3">
      <w:pPr>
        <w:pStyle w:val="NoSpacing"/>
        <w:rPr>
          <w:sz w:val="24"/>
          <w:szCs w:val="24"/>
        </w:rPr>
      </w:pPr>
    </w:p>
    <w:sectPr w:rsidR="004C2E51" w:rsidRPr="001F78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ED7"/>
    <w:multiLevelType w:val="hybridMultilevel"/>
    <w:tmpl w:val="C4406F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7332A"/>
    <w:multiLevelType w:val="hybridMultilevel"/>
    <w:tmpl w:val="27901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49"/>
    <w:rsid w:val="001018C0"/>
    <w:rsid w:val="001F7815"/>
    <w:rsid w:val="00302D4D"/>
    <w:rsid w:val="00373621"/>
    <w:rsid w:val="003D136C"/>
    <w:rsid w:val="004041C8"/>
    <w:rsid w:val="004C2E51"/>
    <w:rsid w:val="004E680F"/>
    <w:rsid w:val="00505DE8"/>
    <w:rsid w:val="00535BA8"/>
    <w:rsid w:val="005B1A6D"/>
    <w:rsid w:val="005F57BD"/>
    <w:rsid w:val="0067737C"/>
    <w:rsid w:val="006916DC"/>
    <w:rsid w:val="00714E85"/>
    <w:rsid w:val="00763F2D"/>
    <w:rsid w:val="00784E4C"/>
    <w:rsid w:val="00787DB9"/>
    <w:rsid w:val="007931D8"/>
    <w:rsid w:val="007D608F"/>
    <w:rsid w:val="0081340E"/>
    <w:rsid w:val="00842272"/>
    <w:rsid w:val="00946957"/>
    <w:rsid w:val="009D6E12"/>
    <w:rsid w:val="00A00EB4"/>
    <w:rsid w:val="00A50D0C"/>
    <w:rsid w:val="00B019B3"/>
    <w:rsid w:val="00BD2E2F"/>
    <w:rsid w:val="00D26F69"/>
    <w:rsid w:val="00D36849"/>
    <w:rsid w:val="00D417A0"/>
    <w:rsid w:val="00DA116B"/>
    <w:rsid w:val="00DC5058"/>
    <w:rsid w:val="00DF1DEF"/>
    <w:rsid w:val="00E402E3"/>
    <w:rsid w:val="00F36CC3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6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D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2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paragraph" w:styleId="Bibliography">
    <w:name w:val="Bibliography"/>
    <w:basedOn w:val="Normal"/>
    <w:next w:val="Normal"/>
    <w:uiPriority w:val="37"/>
    <w:unhideWhenUsed/>
    <w:rsid w:val="004C2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6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D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2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paragraph" w:styleId="Bibliography">
    <w:name w:val="Bibliography"/>
    <w:basedOn w:val="Normal"/>
    <w:next w:val="Normal"/>
    <w:uiPriority w:val="37"/>
    <w:unhideWhenUsed/>
    <w:rsid w:val="004C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Gob14</b:Tag>
    <b:SourceType>DocumentFromInternetSite</b:SourceType>
    <b:Guid>{4F2ADDA9-1387-4069-A23E-3EB1FB2CA8DD}</b:Guid>
    <b:Author>
      <b:Author>
        <b:Corporate>Gobernacion de C/marca</b:Corporate>
      </b:Author>
    </b:Author>
    <b:Title>Estadísticas de Cundinamarca 2011-2013</b:Title>
    <b:Year>2014</b:Year>
    <b:YearAccessed>2015</b:YearAccessed>
    <b:MonthAccessed>noviembre</b:MonthAccessed>
    <b:DayAccessed>7</b:DayAccessed>
    <b:URL>http://www.cundinamarca.gov.co/wps/wcm/connect/04aecefa-79d0-4a3c-be08-9440023c225a/TACO+estadisticas+cundinamarca+Publicaci%C3%B3n+WEB.compressed.pdf?MOD=AJPERES</b:URL>
    <b:RefOrder>1</b:RefOrder>
  </b:Source>
</b:Sources>
</file>

<file path=customXml/itemProps1.xml><?xml version="1.0" encoding="utf-8"?>
<ds:datastoreItem xmlns:ds="http://schemas.openxmlformats.org/officeDocument/2006/customXml" ds:itemID="{AD8D6D31-68C2-4A35-BC36-CD30D1F6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Topa</dc:creator>
  <cp:lastModifiedBy>JUAN CARLOS TOPA BAHAMON</cp:lastModifiedBy>
  <cp:revision>35</cp:revision>
  <dcterms:created xsi:type="dcterms:W3CDTF">2015-11-09T20:44:00Z</dcterms:created>
  <dcterms:modified xsi:type="dcterms:W3CDTF">2015-11-15T01:52:00Z</dcterms:modified>
</cp:coreProperties>
</file>