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6E" w:rsidRDefault="00DA256E" w:rsidP="00DA256E">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Impuesto </w:t>
      </w:r>
      <w:r w:rsidRPr="00DA256E">
        <w:rPr>
          <w:rFonts w:ascii="Times New Roman" w:hAnsi="Times New Roman" w:cs="Times New Roman"/>
          <w:b/>
          <w:sz w:val="24"/>
          <w:szCs w:val="24"/>
          <w:u w:val="single"/>
        </w:rPr>
        <w:t>canon de vertidos.</w:t>
      </w:r>
    </w:p>
    <w:p w:rsidR="00DA256E" w:rsidRPr="00DA256E" w:rsidRDefault="00DA256E" w:rsidP="00DA256E">
      <w:pPr>
        <w:jc w:val="both"/>
        <w:rPr>
          <w:rFonts w:ascii="Times New Roman" w:hAnsi="Times New Roman" w:cs="Times New Roman"/>
          <w:b/>
          <w:sz w:val="24"/>
          <w:szCs w:val="24"/>
          <w:u w:val="single"/>
        </w:rPr>
      </w:pPr>
      <w:r w:rsidRPr="00DA256E">
        <w:rPr>
          <w:rFonts w:ascii="Times New Roman" w:hAnsi="Times New Roman" w:cs="Times New Roman"/>
          <w:b/>
          <w:sz w:val="24"/>
          <w:szCs w:val="24"/>
          <w:u w:val="single"/>
        </w:rPr>
        <w:br/>
      </w:r>
      <w:bookmarkStart w:id="0" w:name="_GoBack"/>
      <w:bookmarkEnd w:id="0"/>
      <w:r w:rsidRPr="00DA256E">
        <w:rPr>
          <w:rFonts w:ascii="Times New Roman" w:hAnsi="Times New Roman" w:cs="Times New Roman"/>
          <w:b/>
          <w:sz w:val="24"/>
          <w:szCs w:val="24"/>
        </w:rPr>
        <w:t>Normativa:</w:t>
      </w:r>
    </w:p>
    <w:p w:rsidR="00DA256E" w:rsidRPr="00DA256E" w:rsidRDefault="00DA256E" w:rsidP="00DA256E">
      <w:pPr>
        <w:jc w:val="both"/>
        <w:rPr>
          <w:rFonts w:ascii="Times New Roman" w:hAnsi="Times New Roman" w:cs="Times New Roman"/>
          <w:sz w:val="24"/>
          <w:szCs w:val="24"/>
        </w:rPr>
      </w:pPr>
      <w:r w:rsidRPr="00DA256E">
        <w:rPr>
          <w:rFonts w:ascii="Times New Roman" w:hAnsi="Times New Roman" w:cs="Times New Roman"/>
          <w:sz w:val="24"/>
          <w:szCs w:val="24"/>
        </w:rPr>
        <w:t xml:space="preserve">Ley 12/1990, de 26 de julio, de Aguas (BOC núm. 94, de 27 </w:t>
      </w:r>
      <w:r w:rsidRPr="00DA256E">
        <w:rPr>
          <w:rFonts w:ascii="Times New Roman" w:hAnsi="Times New Roman" w:cs="Times New Roman"/>
          <w:sz w:val="24"/>
          <w:szCs w:val="24"/>
        </w:rPr>
        <w:t xml:space="preserve">de julio de 1990; corrección de </w:t>
      </w:r>
      <w:r w:rsidRPr="00DA256E">
        <w:rPr>
          <w:rFonts w:ascii="Times New Roman" w:hAnsi="Times New Roman" w:cs="Times New Roman"/>
          <w:sz w:val="24"/>
          <w:szCs w:val="24"/>
        </w:rPr>
        <w:t>errores en BOC núm. 133, de 24 de octubre de 1990)</w:t>
      </w:r>
    </w:p>
    <w:p w:rsidR="00464728" w:rsidRPr="00DA256E" w:rsidRDefault="00DA256E" w:rsidP="00DA256E">
      <w:pPr>
        <w:jc w:val="both"/>
        <w:rPr>
          <w:rFonts w:ascii="Times New Roman" w:hAnsi="Times New Roman" w:cs="Times New Roman"/>
          <w:sz w:val="24"/>
          <w:szCs w:val="24"/>
        </w:rPr>
      </w:pPr>
      <w:r w:rsidRPr="00DA256E">
        <w:rPr>
          <w:rFonts w:ascii="Times New Roman" w:hAnsi="Times New Roman" w:cs="Times New Roman"/>
          <w:sz w:val="24"/>
          <w:szCs w:val="24"/>
        </w:rPr>
        <w:t>Decreto 174/1994, de 29 de julio, por el que se apru</w:t>
      </w:r>
      <w:r w:rsidRPr="00DA256E">
        <w:rPr>
          <w:rFonts w:ascii="Times New Roman" w:hAnsi="Times New Roman" w:cs="Times New Roman"/>
          <w:sz w:val="24"/>
          <w:szCs w:val="24"/>
        </w:rPr>
        <w:t xml:space="preserve">eba el Reglamento de Control de </w:t>
      </w:r>
      <w:r w:rsidRPr="00DA256E">
        <w:rPr>
          <w:rFonts w:ascii="Times New Roman" w:hAnsi="Times New Roman" w:cs="Times New Roman"/>
          <w:sz w:val="24"/>
          <w:szCs w:val="24"/>
        </w:rPr>
        <w:t>Vertidos para la Protección del Dominio Público Hid</w:t>
      </w:r>
      <w:r w:rsidRPr="00DA256E">
        <w:rPr>
          <w:rFonts w:ascii="Times New Roman" w:hAnsi="Times New Roman" w:cs="Times New Roman"/>
          <w:sz w:val="24"/>
          <w:szCs w:val="24"/>
        </w:rPr>
        <w:t xml:space="preserve">ráulico (BOC núm. 104, de 24 de </w:t>
      </w:r>
      <w:r w:rsidRPr="00DA256E">
        <w:rPr>
          <w:rFonts w:ascii="Times New Roman" w:hAnsi="Times New Roman" w:cs="Times New Roman"/>
          <w:sz w:val="24"/>
          <w:szCs w:val="24"/>
        </w:rPr>
        <w:t>agosto de 1994)</w:t>
      </w:r>
    </w:p>
    <w:p w:rsidR="00DA256E" w:rsidRPr="00DA256E" w:rsidRDefault="00DA256E" w:rsidP="00DA256E">
      <w:pPr>
        <w:jc w:val="both"/>
        <w:rPr>
          <w:rFonts w:ascii="Times New Roman" w:hAnsi="Times New Roman" w:cs="Times New Roman"/>
          <w:sz w:val="24"/>
          <w:szCs w:val="24"/>
        </w:rPr>
      </w:pPr>
    </w:p>
    <w:p w:rsidR="00DA256E" w:rsidRPr="00DA256E" w:rsidRDefault="00DA256E" w:rsidP="00DA256E">
      <w:pPr>
        <w:jc w:val="both"/>
        <w:rPr>
          <w:rFonts w:ascii="Times New Roman" w:hAnsi="Times New Roman" w:cs="Times New Roman"/>
          <w:b/>
          <w:sz w:val="24"/>
          <w:szCs w:val="24"/>
        </w:rPr>
      </w:pPr>
      <w:r w:rsidRPr="00DA256E">
        <w:rPr>
          <w:rFonts w:ascii="Times New Roman" w:hAnsi="Times New Roman" w:cs="Times New Roman"/>
          <w:b/>
          <w:sz w:val="24"/>
          <w:szCs w:val="24"/>
        </w:rPr>
        <w:t>Naturaleza y hecho imponible.</w:t>
      </w:r>
    </w:p>
    <w:p w:rsidR="00DA256E" w:rsidRPr="00DA256E" w:rsidRDefault="00DA256E" w:rsidP="00DA256E">
      <w:pPr>
        <w:jc w:val="both"/>
        <w:rPr>
          <w:rFonts w:ascii="Times New Roman" w:hAnsi="Times New Roman" w:cs="Times New Roman"/>
          <w:sz w:val="24"/>
          <w:szCs w:val="24"/>
        </w:rPr>
      </w:pPr>
      <w:r w:rsidRPr="00DA256E">
        <w:rPr>
          <w:rFonts w:ascii="Times New Roman" w:hAnsi="Times New Roman" w:cs="Times New Roman"/>
          <w:sz w:val="24"/>
          <w:szCs w:val="24"/>
        </w:rPr>
        <w:t xml:space="preserve">Se trata de un impuesto autonómico. </w:t>
      </w:r>
      <w:r w:rsidRPr="00DA256E">
        <w:rPr>
          <w:rFonts w:ascii="Times New Roman" w:hAnsi="Times New Roman" w:cs="Times New Roman"/>
          <w:sz w:val="24"/>
          <w:szCs w:val="24"/>
        </w:rPr>
        <w:t>Los vertidos autorizados, conforme a lo establecido en el prese</w:t>
      </w:r>
      <w:r w:rsidRPr="00DA256E">
        <w:rPr>
          <w:rFonts w:ascii="Times New Roman" w:hAnsi="Times New Roman" w:cs="Times New Roman"/>
          <w:sz w:val="24"/>
          <w:szCs w:val="24"/>
        </w:rPr>
        <w:t xml:space="preserve">nte Reglamento, se gravarán con </w:t>
      </w:r>
      <w:r w:rsidRPr="00DA256E">
        <w:rPr>
          <w:rFonts w:ascii="Times New Roman" w:hAnsi="Times New Roman" w:cs="Times New Roman"/>
          <w:sz w:val="24"/>
          <w:szCs w:val="24"/>
        </w:rPr>
        <w:t>un canon destinado a la protección y mejora del dominio público</w:t>
      </w:r>
      <w:r w:rsidRPr="00DA256E">
        <w:rPr>
          <w:rFonts w:ascii="Times New Roman" w:hAnsi="Times New Roman" w:cs="Times New Roman"/>
          <w:sz w:val="24"/>
          <w:szCs w:val="24"/>
        </w:rPr>
        <w:t xml:space="preserve"> hidráulico, de conformidad con </w:t>
      </w:r>
      <w:r w:rsidRPr="00DA256E">
        <w:rPr>
          <w:rFonts w:ascii="Times New Roman" w:hAnsi="Times New Roman" w:cs="Times New Roman"/>
          <w:sz w:val="24"/>
          <w:szCs w:val="24"/>
        </w:rPr>
        <w:t>lo previsto en la planificación hidrológica. El importe de d</w:t>
      </w:r>
      <w:r w:rsidRPr="00DA256E">
        <w:rPr>
          <w:rFonts w:ascii="Times New Roman" w:hAnsi="Times New Roman" w:cs="Times New Roman"/>
          <w:sz w:val="24"/>
          <w:szCs w:val="24"/>
        </w:rPr>
        <w:t xml:space="preserve">icho canon será el resultado de </w:t>
      </w:r>
      <w:r w:rsidRPr="00DA256E">
        <w:rPr>
          <w:rFonts w:ascii="Times New Roman" w:hAnsi="Times New Roman" w:cs="Times New Roman"/>
          <w:sz w:val="24"/>
          <w:szCs w:val="24"/>
        </w:rPr>
        <w:t>multiplicar la carga contaminante, expresada en unidades de contaminación, por el valor q</w:t>
      </w:r>
      <w:r w:rsidRPr="00DA256E">
        <w:rPr>
          <w:rFonts w:ascii="Times New Roman" w:hAnsi="Times New Roman" w:cs="Times New Roman"/>
          <w:sz w:val="24"/>
          <w:szCs w:val="24"/>
        </w:rPr>
        <w:t xml:space="preserve">ue se </w:t>
      </w:r>
      <w:r w:rsidRPr="00DA256E">
        <w:rPr>
          <w:rFonts w:ascii="Times New Roman" w:hAnsi="Times New Roman" w:cs="Times New Roman"/>
          <w:sz w:val="24"/>
          <w:szCs w:val="24"/>
        </w:rPr>
        <w:t>le asigne a la unidad.</w:t>
      </w:r>
    </w:p>
    <w:p w:rsidR="00DA256E" w:rsidRPr="00DA256E" w:rsidRDefault="00DA256E" w:rsidP="00DA256E">
      <w:pPr>
        <w:jc w:val="both"/>
        <w:rPr>
          <w:rFonts w:ascii="Times New Roman" w:hAnsi="Times New Roman" w:cs="Times New Roman"/>
          <w:b/>
          <w:sz w:val="24"/>
          <w:szCs w:val="24"/>
        </w:rPr>
      </w:pPr>
      <w:r w:rsidRPr="00DA256E">
        <w:rPr>
          <w:rFonts w:ascii="Times New Roman" w:hAnsi="Times New Roman" w:cs="Times New Roman"/>
          <w:b/>
          <w:sz w:val="24"/>
          <w:szCs w:val="24"/>
        </w:rPr>
        <w:t xml:space="preserve">Sujetos pasivos: </w:t>
      </w:r>
    </w:p>
    <w:p w:rsidR="00DA256E" w:rsidRPr="00DA256E" w:rsidRDefault="00DA256E" w:rsidP="00DA256E">
      <w:pPr>
        <w:jc w:val="both"/>
        <w:rPr>
          <w:rFonts w:ascii="Times New Roman" w:hAnsi="Times New Roman" w:cs="Times New Roman"/>
          <w:sz w:val="24"/>
          <w:szCs w:val="24"/>
        </w:rPr>
      </w:pPr>
      <w:r w:rsidRPr="00DA256E">
        <w:rPr>
          <w:rFonts w:ascii="Times New Roman" w:hAnsi="Times New Roman" w:cs="Times New Roman"/>
          <w:sz w:val="24"/>
          <w:szCs w:val="24"/>
        </w:rPr>
        <w:t>Los titulares de una autorización de vertidos. Estos deben realizar un pago anual, cuyo importe es el resultado de multiplicar la carga contaminante del vertido expresada en unidades de contaminación, por el valor que se le asigne a la unidad.</w:t>
      </w:r>
    </w:p>
    <w:sectPr w:rsidR="00DA256E" w:rsidRPr="00DA25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6E"/>
    <w:rsid w:val="00464728"/>
    <w:rsid w:val="00DA2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925</Characters>
  <Application>Microsoft Office Word</Application>
  <DocSecurity>0</DocSecurity>
  <Lines>7</Lines>
  <Paragraphs>2</Paragraphs>
  <ScaleCrop>false</ScaleCrop>
  <Company>PERSONAL</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José</dc:creator>
  <cp:lastModifiedBy>Juan José</cp:lastModifiedBy>
  <cp:revision>1</cp:revision>
  <dcterms:created xsi:type="dcterms:W3CDTF">2015-11-21T22:14:00Z</dcterms:created>
  <dcterms:modified xsi:type="dcterms:W3CDTF">2015-11-21T22:22:00Z</dcterms:modified>
</cp:coreProperties>
</file>