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A1" w:rsidRPr="00CC23A1" w:rsidRDefault="00CC23A1" w:rsidP="00CC23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3A1">
        <w:rPr>
          <w:rFonts w:ascii="Times New Roman" w:hAnsi="Times New Roman" w:cs="Times New Roman"/>
          <w:b/>
          <w:sz w:val="24"/>
          <w:szCs w:val="24"/>
          <w:u w:val="single"/>
        </w:rPr>
        <w:t>Real Decreto Legislativo 1/1993, de 24 de septiembre, por el que se aprueba el Texto Refundido de la Ley del Impuesto sobre Transmisiones Patrimoniales y Actos Jurídicos Documentados (Vigente hasta el 01 de Enero de 2016).</w:t>
      </w:r>
    </w:p>
    <w:p w:rsidR="00CC23A1" w:rsidRDefault="00CC23A1" w:rsidP="00CC2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3A1" w:rsidRPr="00CC23A1" w:rsidRDefault="00CC23A1" w:rsidP="00CC2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23A1">
        <w:rPr>
          <w:rFonts w:ascii="Times New Roman" w:hAnsi="Times New Roman" w:cs="Times New Roman"/>
          <w:b/>
          <w:sz w:val="24"/>
          <w:szCs w:val="24"/>
        </w:rPr>
        <w:t>Beneficios fiscales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3A1">
        <w:rPr>
          <w:rFonts w:ascii="Times New Roman" w:hAnsi="Times New Roman" w:cs="Times New Roman"/>
          <w:b/>
          <w:sz w:val="24"/>
          <w:szCs w:val="24"/>
          <w:u w:val="single"/>
        </w:rPr>
        <w:t>Artículo 45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Los beneficios fiscales aplicables en cada caso a las tres modalidades de gravamen a que se refiere el artículo 1 de la pre</w:t>
      </w:r>
      <w:r w:rsidRPr="00CC23A1">
        <w:rPr>
          <w:rFonts w:ascii="Times New Roman" w:hAnsi="Times New Roman" w:cs="Times New Roman"/>
          <w:sz w:val="24"/>
          <w:szCs w:val="24"/>
        </w:rPr>
        <w:t>sente Ley serán los siguientes: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A) Estarán exentos del impuesto: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a) El Estado y las Administraciones públicas territoriales e institucionales y sus establecimientos de beneficencia, cultura, Seguridad Social, docentes o de fines científicos.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Esta exención será igualmente aplicable a aquellas entidades cuyo régimen fiscal haya sido equiparado por una Ley al del Estado o al de las Administraciones públicas citadas.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b) Las entidades sin fines lucrativos a que se refiere artículo 2 de la Ley 49/2002, de 23 de diciembre, de régimen fiscal de las entidades sin fines lucrativos y de los incentivos fiscales al mecenazgo, que se acojan al régimen fiscal especial en la forma prevista en el artículo 14 de dicha Ley.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A la autoliquidación en que se aplique la exención se acompañará la documentación que acredite el derecho a la exención.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c) Las cajas de ahorro y las fundaciones bancarias, por las adquisiciones directamente destinadas a su obra social.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d) La Iglesia Católica y las iglesias, confesiones y comunidades religiosas que tengan suscritos acuerdos de cooperación con el Estado español.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e) El Instituto de España y las Reales Academias integradas en el mismo, así como las instituciones de las Comunidades Autónomas que tengan fines análogos a los de la Real Academia Española.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f) Los partidos políticos con representación parlamentaria.</w:t>
      </w:r>
    </w:p>
    <w:p w:rsidR="00CC23A1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g) La Cruz Roja Española y la Organización Nacional de Ciegos Españoles.</w:t>
      </w:r>
    </w:p>
    <w:p w:rsidR="008C60FF" w:rsidRPr="00CC23A1" w:rsidRDefault="00CC23A1" w:rsidP="00CC23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3A1">
        <w:rPr>
          <w:rFonts w:ascii="Times New Roman" w:hAnsi="Times New Roman" w:cs="Times New Roman"/>
          <w:sz w:val="24"/>
          <w:szCs w:val="24"/>
        </w:rPr>
        <w:t>h) La Obra Pía de los Santos Lugares.</w:t>
      </w:r>
    </w:p>
    <w:sectPr w:rsidR="008C60FF" w:rsidRPr="00CC2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1"/>
    <w:rsid w:val="008C60FF"/>
    <w:rsid w:val="00C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</dc:creator>
  <cp:lastModifiedBy>Juan José</cp:lastModifiedBy>
  <cp:revision>1</cp:revision>
  <dcterms:created xsi:type="dcterms:W3CDTF">2015-11-21T23:30:00Z</dcterms:created>
  <dcterms:modified xsi:type="dcterms:W3CDTF">2015-11-21T23:32:00Z</dcterms:modified>
</cp:coreProperties>
</file>