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2B" w:rsidRPr="008C4A2B" w:rsidRDefault="008C4A2B" w:rsidP="008C4A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 DE MANO DE OBRA DIRECTA E INDIRECTA</w:t>
      </w:r>
    </w:p>
    <w:p w:rsidR="008C4A2B" w:rsidRDefault="008C4A2B" w:rsidP="008C4A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A2B">
        <w:rPr>
          <w:rFonts w:ascii="Arial" w:hAnsi="Arial" w:cs="Arial"/>
          <w:sz w:val="24"/>
          <w:szCs w:val="24"/>
        </w:rPr>
        <w:t xml:space="preserve">La mano de obra indirecta comprende los salarios que se pagan a los empleados que trabajan en una producción especifica al igual que los costos de los materiales directos, estos pueden identificarse de manera directa con una producción específica y se definen como costos directos, los costos de mano de obra indirecta incluyen los demás costos de trabajo, como son los sueldos de supervisión y los salarios que se pagan a quienes hacen herramientas, hay personal de reparaciones, almacenistas y vigilantes. </w:t>
      </w:r>
    </w:p>
    <w:p w:rsidR="008C4A2B" w:rsidRPr="008C4A2B" w:rsidRDefault="008C4A2B" w:rsidP="008C4A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A2B">
        <w:rPr>
          <w:rFonts w:ascii="Arial" w:hAnsi="Arial" w:cs="Arial"/>
          <w:sz w:val="24"/>
          <w:szCs w:val="24"/>
        </w:rPr>
        <w:t>Los costos combinados de material y de la mano de obra directa, se conocen, en general, como costos primos del producto.</w:t>
      </w:r>
    </w:p>
    <w:p w:rsidR="008C4A2B" w:rsidRDefault="008C4A2B" w:rsidP="008C4A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A2B">
        <w:rPr>
          <w:rFonts w:ascii="Arial" w:hAnsi="Arial" w:cs="Arial"/>
          <w:sz w:val="24"/>
          <w:szCs w:val="24"/>
        </w:rPr>
        <w:t>El presupuesto de mano de obra directa cubre las necesidades de mano de obra directa, para producir los tipos y las cantidades de las diferentes producciones planificadas en el presupuesto de producción.</w:t>
      </w:r>
    </w:p>
    <w:p w:rsidR="008C4A2B" w:rsidRPr="008C4A2B" w:rsidRDefault="008C4A2B" w:rsidP="008C4A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 w:bidi="yi-Hebr"/>
        </w:rPr>
        <w:drawing>
          <wp:anchor distT="0" distB="0" distL="114300" distR="114300" simplePos="0" relativeHeight="251658240" behindDoc="1" locked="0" layoutInCell="1" allowOverlap="1" wp14:anchorId="2F0309F9" wp14:editId="22A2530D">
            <wp:simplePos x="0" y="0"/>
            <wp:positionH relativeFrom="margin">
              <wp:align>center</wp:align>
            </wp:positionH>
            <wp:positionV relativeFrom="paragraph">
              <wp:posOffset>1457960</wp:posOffset>
            </wp:positionV>
            <wp:extent cx="50768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59" y="21404"/>
                <wp:lineTo x="21559" y="0"/>
                <wp:lineTo x="0" y="0"/>
              </wp:wrapPolygon>
            </wp:wrapTight>
            <wp:docPr id="1" name="Imagen 1" descr="http://image.slidesharecdn.com/asiganaciondelamanodeobraregistroycontabilizacinpresentacin-130403145105-phpapp01/95/asiganacion-de-la-mano-de-obra-registro-y-contabilizacin-presentacin-2-638.jpg?cb=1365000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asiganaciondelamanodeobraregistroycontabilizacinpresentacin-130403145105-phpapp01/95/asiganacion-de-la-mano-de-obra-registro-y-contabilizacin-presentacin-2-638.jpg?cb=13650007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A2B">
        <w:rPr>
          <w:rFonts w:ascii="Arial" w:hAnsi="Arial" w:cs="Arial"/>
          <w:sz w:val="24"/>
          <w:szCs w:val="24"/>
        </w:rPr>
        <w:t>Tal procedimiento es congruente con el habitual tratamiento que en la contabilidad de costos se da a los costos de mano de obra indirecta, como componentes de los gastos indirectos de fabricación, asimismo, el pago de tiempo extra (que incluye el sobre sueldo u prima del tiempo extra) relacionados con la mano de obra directa, debe presupuestarse como un costo diferente.</w:t>
      </w:r>
    </w:p>
    <w:p w:rsidR="008C4A2B" w:rsidRDefault="008C4A2B" w:rsidP="008C4A2B">
      <w:bookmarkStart w:id="0" w:name="_GoBack"/>
      <w:bookmarkEnd w:id="0"/>
    </w:p>
    <w:p w:rsidR="008C4A2B" w:rsidRDefault="008C4A2B" w:rsidP="008C4A2B"/>
    <w:sectPr w:rsidR="008C4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B"/>
    <w:rsid w:val="008C4A2B"/>
    <w:rsid w:val="00B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A7659-B378-44AC-8548-EB3EEA10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2015-11-26T20:55:00Z</dcterms:created>
  <dcterms:modified xsi:type="dcterms:W3CDTF">2015-11-26T21:02:00Z</dcterms:modified>
</cp:coreProperties>
</file>