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76BEA" w:rsidRPr="00276BEA" w:rsidTr="00276B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EA" w:rsidRPr="00276BEA" w:rsidRDefault="00276BEA" w:rsidP="0027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276BEA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Impuesto sobre Transmisiones Patrimoniales y Actos Jurídicos Documentados:</w:t>
            </w:r>
          </w:p>
        </w:tc>
      </w:tr>
    </w:tbl>
    <w:p w:rsidR="00276BEA" w:rsidRPr="00276BEA" w:rsidRDefault="00276BEA" w:rsidP="00276BEA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Exención del pago en las operaciones de constitución de sociedades, aumento del capital y aportaciones de socios a partir del 03/12/2010 en virtud del </w:t>
      </w:r>
      <w:hyperlink r:id="rId4" w:tgtFrame="_blank" w:history="1">
        <w:r w:rsidRPr="00276BEA">
          <w:rPr>
            <w:rFonts w:ascii="Arial" w:eastAsia="Times New Roman" w:hAnsi="Arial" w:cs="Arial"/>
            <w:color w:val="FB4831"/>
            <w:sz w:val="24"/>
            <w:szCs w:val="24"/>
            <w:u w:val="single"/>
            <w:lang w:eastAsia="es-ES"/>
          </w:rPr>
          <w:t>Real Decreto-ley 13/2010, de 3 de diciembre, de actuaciones en el ámbito fiscal, laboral y liberalizadoras para fomentar la inversión y la creación de empleo</w:t>
        </w:r>
      </w:hyperlink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.</w:t>
      </w:r>
    </w:p>
    <w:p w:rsidR="00276BEA" w:rsidRPr="00276BEA" w:rsidRDefault="00276BEA" w:rsidP="00276BEA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El Impuesto sobre Transmisiones Patrimoniales y Actos Jurídicos Documentados </w:t>
      </w:r>
      <w:proofErr w:type="gramStart"/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( I.T.P.A.J.D</w:t>
      </w:r>
      <w:proofErr w:type="gramEnd"/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.) es un tributo de naturaleza indirecta que grava las transmisiones patrimoniales onerosas, las operaciones societarias y los actos jurídicos documentados.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este caso nos centramos en las operaciones societarias como son el aumento y disminución de capital, fusión, escisión y disolución de sociedades, las aportaciones de los socios para reponer pérdidas sociales, y más en concreto la constitución de sociedades.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las operaciones de constitución, es la sociedad quien está obligada a pagar el impuesto. La base imponible coincide con el importe nominal del capital social fijado inicialmente. La cuota tributaria se obtendrá aplicando a la base liquidable el tipo de gravamen del 1 por 100.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liquidación del impuesto se presentará en la Delegación de Hacienda de la Comunidad Autónoma correspondiente a la provincia en la que se encuentre domiciliada la sociedad, dónde también se realizará el pago en régimen de autoliquidación.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Los documentos necesarios son: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modelo 600 (I.T.P.A.J.D.) cumplimentado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original y la copia de la Escritura de Constitución sujeta a gravamen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D.N.I. o el N.I.F. de sujeto pasivo del impuesto</w:t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plazo de presentación serán 30 días hábiles a partir del otorgamiento de la Escritura Pública ante notario.</w:t>
      </w:r>
    </w:p>
    <w:p w:rsidR="00276BEA" w:rsidRPr="00276BEA" w:rsidRDefault="00276BEA" w:rsidP="00276BEA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276BEA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 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276BEA"/>
    <w:rsid w:val="005314C9"/>
    <w:rsid w:val="006251E6"/>
    <w:rsid w:val="00796F18"/>
    <w:rsid w:val="00B546F6"/>
    <w:rsid w:val="00B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e.es/boe/dias/2010/12/03/pdfs/BOE-A-2010-1865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2015-11-29T20:30:00Z</dcterms:created>
  <dcterms:modified xsi:type="dcterms:W3CDTF">2015-11-29T20:30:00Z</dcterms:modified>
</cp:coreProperties>
</file>