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1EF59" w14:textId="77777777" w:rsidR="001B36C0" w:rsidRPr="00B842EC" w:rsidRDefault="00215CD2" w:rsidP="00F668FF">
      <w:pPr>
        <w:rPr>
          <w:rFonts w:ascii="Tahoma" w:hAnsi="Tahoma" w:cs="Tahoma"/>
          <w:b/>
          <w:sz w:val="22"/>
          <w:szCs w:val="22"/>
          <w:u w:val="single"/>
        </w:rPr>
      </w:pPr>
      <w:r w:rsidRPr="00B842EC">
        <w:rPr>
          <w:rFonts w:ascii="Tahoma" w:hAnsi="Tahoma" w:cs="Tahoma"/>
          <w:b/>
          <w:sz w:val="22"/>
          <w:szCs w:val="22"/>
          <w:u w:val="single"/>
        </w:rPr>
        <w:t>Les clés de lecture pour le Grand Voyage du Père Noël</w:t>
      </w:r>
    </w:p>
    <w:p w14:paraId="2E88159B" w14:textId="77777777" w:rsidR="00215CD2" w:rsidRPr="00B842EC" w:rsidRDefault="00215CD2" w:rsidP="00F668FF">
      <w:pPr>
        <w:rPr>
          <w:rFonts w:ascii="Tahoma" w:hAnsi="Tahoma" w:cs="Tahoma"/>
          <w:b/>
          <w:sz w:val="22"/>
          <w:szCs w:val="22"/>
          <w:u w:val="single"/>
        </w:rPr>
      </w:pPr>
      <w:r w:rsidRPr="00B842EC">
        <w:rPr>
          <w:rFonts w:ascii="Tahoma" w:hAnsi="Tahoma" w:cs="Tahoma"/>
          <w:b/>
          <w:sz w:val="22"/>
          <w:szCs w:val="22"/>
          <w:u w:val="single"/>
        </w:rPr>
        <w:t>Chantale Hébert APR-659</w:t>
      </w:r>
    </w:p>
    <w:p w14:paraId="35B1A0D8" w14:textId="77777777" w:rsidR="00215CD2" w:rsidRPr="00B842EC" w:rsidRDefault="00215CD2" w:rsidP="00F668FF">
      <w:pPr>
        <w:rPr>
          <w:rFonts w:ascii="Tahoma" w:hAnsi="Tahoma" w:cs="Tahoma"/>
          <w:b/>
          <w:sz w:val="22"/>
          <w:szCs w:val="22"/>
          <w:u w:val="single"/>
        </w:rPr>
      </w:pPr>
      <w:r w:rsidRPr="00B842EC">
        <w:rPr>
          <w:rFonts w:ascii="Tahoma" w:hAnsi="Tahoma" w:cs="Tahoma"/>
          <w:b/>
          <w:sz w:val="22"/>
          <w:szCs w:val="22"/>
          <w:u w:val="single"/>
        </w:rPr>
        <w:t>TP-4</w:t>
      </w:r>
    </w:p>
    <w:p w14:paraId="7A744785" w14:textId="77777777" w:rsidR="00215CD2" w:rsidRPr="00B842EC" w:rsidRDefault="00215CD2" w:rsidP="00215CD2">
      <w:pPr>
        <w:jc w:val="center"/>
        <w:rPr>
          <w:rFonts w:ascii="Tahoma" w:hAnsi="Tahoma" w:cs="Tahoma"/>
          <w:b/>
          <w:sz w:val="22"/>
          <w:szCs w:val="22"/>
          <w:u w:val="single"/>
        </w:rPr>
      </w:pPr>
    </w:p>
    <w:p w14:paraId="59E8BD57" w14:textId="77777777" w:rsidR="00215CD2" w:rsidRPr="00B842EC" w:rsidRDefault="0036420B" w:rsidP="00215CD2">
      <w:pPr>
        <w:rPr>
          <w:rFonts w:ascii="Tahoma" w:hAnsi="Tahoma" w:cs="Tahoma"/>
          <w:sz w:val="22"/>
          <w:szCs w:val="22"/>
        </w:rPr>
      </w:pPr>
      <w:r w:rsidRPr="00B842EC">
        <w:rPr>
          <w:rFonts w:ascii="Tahoma" w:hAnsi="Tahoma" w:cs="Tahoma"/>
          <w:sz w:val="22"/>
          <w:szCs w:val="22"/>
        </w:rPr>
        <w:t>Après avoir lu le grand titre du centre en rouge</w:t>
      </w:r>
      <w:r w:rsidR="00267996" w:rsidRPr="00B842EC">
        <w:rPr>
          <w:rFonts w:ascii="Tahoma" w:hAnsi="Tahoma" w:cs="Tahoma"/>
          <w:sz w:val="22"/>
          <w:szCs w:val="22"/>
        </w:rPr>
        <w:t xml:space="preserve"> et vert pour Noël</w:t>
      </w:r>
      <w:r w:rsidRPr="00B842EC">
        <w:rPr>
          <w:rFonts w:ascii="Tahoma" w:hAnsi="Tahoma" w:cs="Tahoma"/>
          <w:sz w:val="22"/>
          <w:szCs w:val="22"/>
        </w:rPr>
        <w:t>, la lecture du projet se fait</w:t>
      </w:r>
      <w:r w:rsidR="00215CD2" w:rsidRPr="00B842EC">
        <w:rPr>
          <w:rFonts w:ascii="Tahoma" w:hAnsi="Tahoma" w:cs="Tahoma"/>
          <w:sz w:val="22"/>
          <w:szCs w:val="22"/>
        </w:rPr>
        <w:t xml:space="preserve"> </w:t>
      </w:r>
      <w:r w:rsidRPr="00B842EC">
        <w:rPr>
          <w:rFonts w:ascii="Tahoma" w:hAnsi="Tahoma" w:cs="Tahoma"/>
          <w:sz w:val="22"/>
          <w:szCs w:val="22"/>
        </w:rPr>
        <w:t xml:space="preserve">généralement de haut en bas et </w:t>
      </w:r>
      <w:r w:rsidR="00215CD2" w:rsidRPr="00B842EC">
        <w:rPr>
          <w:rFonts w:ascii="Tahoma" w:hAnsi="Tahoma" w:cs="Tahoma"/>
          <w:sz w:val="22"/>
          <w:szCs w:val="22"/>
        </w:rPr>
        <w:t>de gauche à droite.</w:t>
      </w:r>
      <w:r w:rsidRPr="00B842EC">
        <w:rPr>
          <w:rFonts w:ascii="Tahoma" w:hAnsi="Tahoma" w:cs="Tahoma"/>
          <w:sz w:val="22"/>
          <w:szCs w:val="22"/>
        </w:rPr>
        <w:t xml:space="preserve"> L ‘</w:t>
      </w:r>
      <w:r w:rsidR="00215CD2" w:rsidRPr="00B842EC">
        <w:rPr>
          <w:rFonts w:ascii="Tahoma" w:hAnsi="Tahoma" w:cs="Tahoma"/>
          <w:sz w:val="22"/>
          <w:szCs w:val="22"/>
        </w:rPr>
        <w:t>œil peut se promener d’un endroit à l’autr</w:t>
      </w:r>
      <w:r w:rsidRPr="00B842EC">
        <w:rPr>
          <w:rFonts w:ascii="Tahoma" w:hAnsi="Tahoma" w:cs="Tahoma"/>
          <w:sz w:val="22"/>
          <w:szCs w:val="22"/>
        </w:rPr>
        <w:t>e pour enrichir la préparation et comprendre tous les liens possibles.</w:t>
      </w:r>
    </w:p>
    <w:p w14:paraId="50B48E8B" w14:textId="77777777" w:rsidR="00215CD2" w:rsidRPr="00B842EC" w:rsidRDefault="00215CD2" w:rsidP="00215CD2">
      <w:pPr>
        <w:rPr>
          <w:rFonts w:ascii="Tahoma" w:hAnsi="Tahoma" w:cs="Tahoma"/>
          <w:b/>
          <w:sz w:val="22"/>
          <w:szCs w:val="22"/>
          <w:u w:val="single"/>
        </w:rPr>
      </w:pPr>
    </w:p>
    <w:p w14:paraId="39CD3F77" w14:textId="77777777" w:rsidR="00215CD2" w:rsidRPr="00B842EC" w:rsidRDefault="00215CD2" w:rsidP="0036420B">
      <w:pPr>
        <w:pStyle w:val="ListParagraph"/>
        <w:numPr>
          <w:ilvl w:val="0"/>
          <w:numId w:val="1"/>
        </w:numPr>
        <w:rPr>
          <w:rFonts w:ascii="Tahoma" w:hAnsi="Tahoma" w:cs="Tahoma"/>
          <w:b/>
          <w:sz w:val="22"/>
          <w:szCs w:val="22"/>
          <w:u w:val="single"/>
        </w:rPr>
      </w:pPr>
      <w:r w:rsidRPr="00B842EC">
        <w:rPr>
          <w:rFonts w:ascii="Tahoma" w:hAnsi="Tahoma" w:cs="Tahoma"/>
          <w:b/>
          <w:sz w:val="22"/>
          <w:szCs w:val="22"/>
          <w:u w:val="single"/>
        </w:rPr>
        <w:t>Code  de couleurs :</w:t>
      </w:r>
    </w:p>
    <w:p w14:paraId="12089153" w14:textId="77777777" w:rsidR="00215CD2" w:rsidRPr="00B842EC" w:rsidRDefault="00215CD2" w:rsidP="0036420B">
      <w:pPr>
        <w:pStyle w:val="ListParagraph"/>
        <w:numPr>
          <w:ilvl w:val="0"/>
          <w:numId w:val="1"/>
        </w:numPr>
        <w:rPr>
          <w:rFonts w:ascii="Tahoma" w:hAnsi="Tahoma" w:cs="Tahoma"/>
          <w:b/>
          <w:sz w:val="22"/>
          <w:szCs w:val="22"/>
          <w:u w:val="single"/>
        </w:rPr>
      </w:pPr>
    </w:p>
    <w:p w14:paraId="6DBBCF80" w14:textId="520739A5" w:rsidR="00215CD2" w:rsidRPr="00B842EC" w:rsidRDefault="00215CD2" w:rsidP="0036420B">
      <w:pPr>
        <w:pStyle w:val="ListParagraph"/>
        <w:numPr>
          <w:ilvl w:val="0"/>
          <w:numId w:val="2"/>
        </w:numPr>
        <w:rPr>
          <w:rFonts w:ascii="Tahoma" w:hAnsi="Tahoma" w:cs="Tahoma"/>
          <w:sz w:val="22"/>
          <w:szCs w:val="22"/>
        </w:rPr>
      </w:pPr>
      <w:r w:rsidRPr="00B842EC">
        <w:rPr>
          <w:rFonts w:ascii="Tahoma" w:hAnsi="Tahoma" w:cs="Tahoma"/>
          <w:sz w:val="22"/>
          <w:szCs w:val="22"/>
          <w:highlight w:val="cyan"/>
        </w:rPr>
        <w:t>Bleu</w:t>
      </w:r>
      <w:r w:rsidRPr="00B842EC">
        <w:rPr>
          <w:rFonts w:ascii="Tahoma" w:hAnsi="Tahoma" w:cs="Tahoma"/>
          <w:sz w:val="22"/>
          <w:szCs w:val="22"/>
        </w:rPr>
        <w:t xml:space="preserve"> : </w:t>
      </w:r>
      <w:r w:rsidRPr="00B842EC">
        <w:rPr>
          <w:rFonts w:ascii="Tahoma" w:hAnsi="Tahoma" w:cs="Tahoma"/>
          <w:sz w:val="22"/>
          <w:szCs w:val="22"/>
          <w:u w:val="single"/>
        </w:rPr>
        <w:t>Compétences et intentions pédagogiques</w:t>
      </w:r>
      <w:r w:rsidRPr="00B842EC">
        <w:rPr>
          <w:rFonts w:ascii="Tahoma" w:hAnsi="Tahoma" w:cs="Tahoma"/>
          <w:sz w:val="22"/>
          <w:szCs w:val="22"/>
        </w:rPr>
        <w:t xml:space="preserve"> en </w:t>
      </w:r>
      <w:r w:rsidRPr="00B842EC">
        <w:rPr>
          <w:rFonts w:ascii="Tahoma" w:hAnsi="Tahoma" w:cs="Tahoma"/>
          <w:sz w:val="22"/>
          <w:szCs w:val="22"/>
          <w:highlight w:val="cyan"/>
          <w:u w:val="single"/>
        </w:rPr>
        <w:t>priorité</w:t>
      </w:r>
      <w:r w:rsidRPr="00B842EC">
        <w:rPr>
          <w:rFonts w:ascii="Tahoma" w:hAnsi="Tahoma" w:cs="Tahoma"/>
          <w:sz w:val="22"/>
          <w:szCs w:val="22"/>
          <w:u w:val="single"/>
        </w:rPr>
        <w:t xml:space="preserve"> </w:t>
      </w:r>
      <w:r w:rsidRPr="00B842EC">
        <w:rPr>
          <w:rFonts w:ascii="Tahoma" w:hAnsi="Tahoma" w:cs="Tahoma"/>
          <w:sz w:val="22"/>
          <w:szCs w:val="22"/>
        </w:rPr>
        <w:t xml:space="preserve">incluant le bleu–gris pour les </w:t>
      </w:r>
      <w:r w:rsidRPr="00B842EC">
        <w:rPr>
          <w:rFonts w:ascii="Tahoma" w:hAnsi="Tahoma" w:cs="Tahoma"/>
          <w:sz w:val="22"/>
          <w:szCs w:val="22"/>
          <w:u w:val="single"/>
        </w:rPr>
        <w:t>critères d’évaluations</w:t>
      </w:r>
      <w:r w:rsidRPr="00B842EC">
        <w:rPr>
          <w:rFonts w:ascii="Tahoma" w:hAnsi="Tahoma" w:cs="Tahoma"/>
          <w:sz w:val="22"/>
          <w:szCs w:val="22"/>
        </w:rPr>
        <w:t xml:space="preserve">. Tout ce qui est en bleu est la structure de base de tout l’exercice. Il faut toujours avoir ces objectifs en tête afin de ne pas trop s’éloigner du sujet central </w:t>
      </w:r>
      <w:r w:rsidR="00B842EC">
        <w:rPr>
          <w:rFonts w:ascii="Tahoma" w:hAnsi="Tahoma" w:cs="Tahoma"/>
          <w:sz w:val="22"/>
          <w:szCs w:val="22"/>
        </w:rPr>
        <w:t xml:space="preserve">qui est </w:t>
      </w:r>
      <w:r w:rsidRPr="00B842EC">
        <w:rPr>
          <w:rFonts w:ascii="Tahoma" w:hAnsi="Tahoma" w:cs="Tahoma"/>
          <w:sz w:val="22"/>
          <w:szCs w:val="22"/>
        </w:rPr>
        <w:t>en rouge.</w:t>
      </w:r>
      <w:r w:rsidR="00D54700">
        <w:rPr>
          <w:rFonts w:ascii="Tahoma" w:hAnsi="Tahoma" w:cs="Tahoma"/>
          <w:sz w:val="22"/>
          <w:szCs w:val="22"/>
        </w:rPr>
        <w:t xml:space="preserve"> Il est important de toujours savoir pourquoi on fait ce travail.</w:t>
      </w:r>
      <w:bookmarkStart w:id="0" w:name="_GoBack"/>
      <w:bookmarkEnd w:id="0"/>
    </w:p>
    <w:p w14:paraId="59146419" w14:textId="77777777" w:rsidR="00215CD2" w:rsidRPr="00B842EC" w:rsidRDefault="00317151" w:rsidP="0036420B">
      <w:pPr>
        <w:pStyle w:val="ListParagraph"/>
        <w:numPr>
          <w:ilvl w:val="0"/>
          <w:numId w:val="2"/>
        </w:numPr>
        <w:rPr>
          <w:rFonts w:ascii="Tahoma" w:hAnsi="Tahoma" w:cs="Tahoma"/>
          <w:sz w:val="22"/>
          <w:szCs w:val="22"/>
        </w:rPr>
      </w:pPr>
      <w:r w:rsidRPr="00B842EC">
        <w:rPr>
          <w:rFonts w:ascii="Tahoma" w:hAnsi="Tahoma" w:cs="Tahoma"/>
          <w:sz w:val="22"/>
          <w:szCs w:val="22"/>
        </w:rPr>
        <w:t xml:space="preserve">Les ombres </w:t>
      </w:r>
      <w:r w:rsidRPr="00B842EC">
        <w:rPr>
          <w:rFonts w:ascii="Tahoma" w:hAnsi="Tahoma" w:cs="Tahoma"/>
          <w:color w:val="FF6600"/>
          <w:sz w:val="22"/>
          <w:szCs w:val="22"/>
        </w:rPr>
        <w:t>orange</w:t>
      </w:r>
      <w:r w:rsidR="00215CD2" w:rsidRPr="00B842EC">
        <w:rPr>
          <w:rFonts w:ascii="Tahoma" w:hAnsi="Tahoma" w:cs="Tahoma"/>
          <w:color w:val="FF6600"/>
          <w:sz w:val="22"/>
          <w:szCs w:val="22"/>
        </w:rPr>
        <w:t xml:space="preserve"> </w:t>
      </w:r>
      <w:r w:rsidR="00215CD2" w:rsidRPr="00B842EC">
        <w:rPr>
          <w:rFonts w:ascii="Tahoma" w:hAnsi="Tahoma" w:cs="Tahoma"/>
          <w:sz w:val="22"/>
          <w:szCs w:val="22"/>
        </w:rPr>
        <w:t>sont le lien entre les différents objectifs à atteindre</w:t>
      </w:r>
      <w:r w:rsidRPr="00B842EC">
        <w:rPr>
          <w:rFonts w:ascii="Tahoma" w:hAnsi="Tahoma" w:cs="Tahoma"/>
          <w:sz w:val="22"/>
          <w:szCs w:val="22"/>
        </w:rPr>
        <w:t xml:space="preserve">, les critères d’évaluations </w:t>
      </w:r>
      <w:r w:rsidR="00B842EC">
        <w:rPr>
          <w:rFonts w:ascii="Tahoma" w:hAnsi="Tahoma" w:cs="Tahoma"/>
          <w:sz w:val="22"/>
          <w:szCs w:val="22"/>
        </w:rPr>
        <w:t>(</w:t>
      </w:r>
      <w:r w:rsidRPr="00B842EC">
        <w:rPr>
          <w:rFonts w:ascii="Tahoma" w:hAnsi="Tahoma" w:cs="Tahoma"/>
          <w:sz w:val="22"/>
          <w:szCs w:val="22"/>
        </w:rPr>
        <w:t>à mettre au centre des apprentissages</w:t>
      </w:r>
      <w:r w:rsidR="00B842EC">
        <w:rPr>
          <w:rFonts w:ascii="Tahoma" w:hAnsi="Tahoma" w:cs="Tahoma"/>
          <w:sz w:val="22"/>
          <w:szCs w:val="22"/>
        </w:rPr>
        <w:t>)</w:t>
      </w:r>
      <w:r w:rsidR="00215CD2" w:rsidRPr="00B842EC">
        <w:rPr>
          <w:rFonts w:ascii="Tahoma" w:hAnsi="Tahoma" w:cs="Tahoma"/>
          <w:sz w:val="22"/>
          <w:szCs w:val="22"/>
        </w:rPr>
        <w:t xml:space="preserve"> et aussi les activités liées </w:t>
      </w:r>
      <w:r w:rsidRPr="00B842EC">
        <w:rPr>
          <w:rFonts w:ascii="Tahoma" w:hAnsi="Tahoma" w:cs="Tahoma"/>
          <w:sz w:val="22"/>
          <w:szCs w:val="22"/>
        </w:rPr>
        <w:t xml:space="preserve">à ces derniers. (Présentation orale, retour, intentions pédagogiques, clientèle visée) </w:t>
      </w:r>
    </w:p>
    <w:p w14:paraId="7E5103FF" w14:textId="77777777" w:rsidR="00317151" w:rsidRPr="00B842EC" w:rsidRDefault="00317151" w:rsidP="0036420B">
      <w:pPr>
        <w:pStyle w:val="ListParagraph"/>
        <w:numPr>
          <w:ilvl w:val="0"/>
          <w:numId w:val="2"/>
        </w:numPr>
        <w:rPr>
          <w:rFonts w:ascii="Tahoma" w:hAnsi="Tahoma" w:cs="Tahoma"/>
          <w:color w:val="FF6600"/>
          <w:sz w:val="22"/>
          <w:szCs w:val="22"/>
        </w:rPr>
      </w:pPr>
      <w:r w:rsidRPr="00B842EC">
        <w:rPr>
          <w:rFonts w:ascii="Tahoma" w:hAnsi="Tahoma" w:cs="Tahoma"/>
          <w:color w:val="FF6600"/>
          <w:sz w:val="22"/>
          <w:szCs w:val="22"/>
        </w:rPr>
        <w:t xml:space="preserve">Orange : </w:t>
      </w:r>
      <w:r w:rsidRPr="00B842EC">
        <w:rPr>
          <w:rFonts w:ascii="Tahoma" w:hAnsi="Tahoma" w:cs="Tahoma"/>
          <w:sz w:val="22"/>
          <w:szCs w:val="22"/>
        </w:rPr>
        <w:t xml:space="preserve">Tout ce qui est matériel </w:t>
      </w:r>
      <w:r w:rsidR="00F668FF" w:rsidRPr="00B842EC">
        <w:rPr>
          <w:rFonts w:ascii="Tahoma" w:hAnsi="Tahoma" w:cs="Tahoma"/>
          <w:sz w:val="22"/>
          <w:szCs w:val="22"/>
        </w:rPr>
        <w:t xml:space="preserve">concret </w:t>
      </w:r>
      <w:r w:rsidRPr="00B842EC">
        <w:rPr>
          <w:rFonts w:ascii="Tahoma" w:hAnsi="Tahoma" w:cs="Tahoma"/>
          <w:sz w:val="22"/>
          <w:szCs w:val="22"/>
        </w:rPr>
        <w:t xml:space="preserve">nécessaire à l’activité. </w:t>
      </w:r>
      <w:r w:rsidRPr="00B842EC">
        <w:rPr>
          <w:rFonts w:ascii="Tahoma" w:hAnsi="Tahoma" w:cs="Tahoma"/>
          <w:sz w:val="22"/>
          <w:szCs w:val="22"/>
          <w:highlight w:val="magenta"/>
        </w:rPr>
        <w:t>Ombre rose</w:t>
      </w:r>
      <w:r w:rsidRPr="00B842EC">
        <w:rPr>
          <w:rFonts w:ascii="Tahoma" w:hAnsi="Tahoma" w:cs="Tahoma"/>
          <w:sz w:val="22"/>
          <w:szCs w:val="22"/>
        </w:rPr>
        <w:t xml:space="preserve"> pour le matériel papier. </w:t>
      </w:r>
      <w:r w:rsidRPr="00B842EC">
        <w:rPr>
          <w:rFonts w:ascii="Tahoma" w:hAnsi="Tahoma" w:cs="Tahoma"/>
          <w:sz w:val="22"/>
          <w:szCs w:val="22"/>
          <w:highlight w:val="red"/>
        </w:rPr>
        <w:t>Ombre rouge</w:t>
      </w:r>
      <w:r w:rsidRPr="00B842EC">
        <w:rPr>
          <w:rFonts w:ascii="Tahoma" w:hAnsi="Tahoma" w:cs="Tahoma"/>
          <w:sz w:val="22"/>
          <w:szCs w:val="22"/>
        </w:rPr>
        <w:t xml:space="preserve"> pour l</w:t>
      </w:r>
      <w:r w:rsidR="00B842EC">
        <w:rPr>
          <w:rFonts w:ascii="Tahoma" w:hAnsi="Tahoma" w:cs="Tahoma"/>
          <w:sz w:val="22"/>
          <w:szCs w:val="22"/>
        </w:rPr>
        <w:t>e matériel concret. Le orange est</w:t>
      </w:r>
      <w:r w:rsidRPr="00B842EC">
        <w:rPr>
          <w:rFonts w:ascii="Tahoma" w:hAnsi="Tahoma" w:cs="Tahoma"/>
          <w:sz w:val="22"/>
          <w:szCs w:val="22"/>
        </w:rPr>
        <w:t xml:space="preserve"> aussi utilisé pour </w:t>
      </w:r>
      <w:r w:rsidRPr="00B842EC">
        <w:rPr>
          <w:rFonts w:ascii="Tahoma" w:hAnsi="Tahoma" w:cs="Tahoma"/>
          <w:sz w:val="22"/>
          <w:szCs w:val="22"/>
          <w:u w:val="single"/>
        </w:rPr>
        <w:t>la dernière période</w:t>
      </w:r>
      <w:r w:rsidRPr="00B842EC">
        <w:rPr>
          <w:rFonts w:ascii="Tahoma" w:hAnsi="Tahoma" w:cs="Tahoma"/>
          <w:sz w:val="22"/>
          <w:szCs w:val="22"/>
        </w:rPr>
        <w:t xml:space="preserve"> d’activité où le matériel concret doit être en priorité. L’enseignante doit pouvoir utiliser ce matériel pour mieux évaluer et aider les élèves.</w:t>
      </w:r>
    </w:p>
    <w:p w14:paraId="05134394" w14:textId="77777777" w:rsidR="0036420B" w:rsidRPr="00B842EC" w:rsidRDefault="0036420B" w:rsidP="0036420B">
      <w:pPr>
        <w:pStyle w:val="ListParagraph"/>
        <w:numPr>
          <w:ilvl w:val="0"/>
          <w:numId w:val="2"/>
        </w:numPr>
        <w:rPr>
          <w:rFonts w:ascii="Tahoma" w:hAnsi="Tahoma" w:cs="Tahoma"/>
          <w:sz w:val="22"/>
          <w:szCs w:val="22"/>
        </w:rPr>
      </w:pPr>
      <w:r w:rsidRPr="00B842EC">
        <w:rPr>
          <w:rFonts w:ascii="Tahoma" w:hAnsi="Tahoma" w:cs="Tahoma"/>
          <w:color w:val="8F11BA"/>
          <w:sz w:val="22"/>
          <w:szCs w:val="22"/>
        </w:rPr>
        <w:t>Le mauve</w:t>
      </w:r>
      <w:r w:rsidRPr="00B842EC">
        <w:rPr>
          <w:rFonts w:ascii="Tahoma" w:hAnsi="Tahoma" w:cs="Tahoma"/>
          <w:sz w:val="22"/>
          <w:szCs w:val="22"/>
        </w:rPr>
        <w:t xml:space="preserve"> est utilisé pour toutes les activités de préparations </w:t>
      </w:r>
      <w:r w:rsidRPr="00B842EC">
        <w:rPr>
          <w:rFonts w:ascii="Tahoma" w:hAnsi="Tahoma" w:cs="Tahoma"/>
          <w:sz w:val="22"/>
          <w:szCs w:val="22"/>
          <w:u w:val="single"/>
        </w:rPr>
        <w:t>avant</w:t>
      </w:r>
      <w:r w:rsidRPr="00B842EC">
        <w:rPr>
          <w:rFonts w:ascii="Tahoma" w:hAnsi="Tahoma" w:cs="Tahoma"/>
          <w:sz w:val="22"/>
          <w:szCs w:val="22"/>
        </w:rPr>
        <w:t xml:space="preserve"> la SAÉ. Ils sont essentiels.</w:t>
      </w:r>
    </w:p>
    <w:p w14:paraId="4F1434A5" w14:textId="77777777" w:rsidR="0036420B" w:rsidRPr="00B842EC" w:rsidRDefault="0036420B" w:rsidP="0036420B">
      <w:pPr>
        <w:pStyle w:val="ListParagraph"/>
        <w:numPr>
          <w:ilvl w:val="0"/>
          <w:numId w:val="2"/>
        </w:numPr>
        <w:rPr>
          <w:rFonts w:ascii="Tahoma" w:hAnsi="Tahoma" w:cs="Tahoma"/>
          <w:sz w:val="22"/>
          <w:szCs w:val="22"/>
        </w:rPr>
      </w:pPr>
      <w:r w:rsidRPr="00B842EC">
        <w:rPr>
          <w:rFonts w:ascii="Tahoma" w:hAnsi="Tahoma" w:cs="Tahoma"/>
          <w:sz w:val="22"/>
          <w:szCs w:val="22"/>
        </w:rPr>
        <w:t xml:space="preserve">Les </w:t>
      </w:r>
      <w:r w:rsidRPr="00B842EC">
        <w:rPr>
          <w:rFonts w:ascii="Tahoma" w:hAnsi="Tahoma" w:cs="Tahoma"/>
          <w:sz w:val="22"/>
          <w:szCs w:val="22"/>
          <w:highlight w:val="magenta"/>
        </w:rPr>
        <w:t>grandes flèches roses</w:t>
      </w:r>
      <w:r w:rsidRPr="00B842EC">
        <w:rPr>
          <w:rFonts w:ascii="Tahoma" w:hAnsi="Tahoma" w:cs="Tahoma"/>
          <w:sz w:val="22"/>
          <w:szCs w:val="22"/>
        </w:rPr>
        <w:t xml:space="preserve"> sont les bases essentielles à la cohérence du travail afin de toujours faire des liens entre les différentes étapes et de considérer ces liens en les explicitant souvent aux enfants. La capacité de faire des liens est la clé du travail si l’on veut atteindre le plus d’objectifs </w:t>
      </w:r>
      <w:r w:rsidR="00F668FF" w:rsidRPr="00B842EC">
        <w:rPr>
          <w:rFonts w:ascii="Tahoma" w:hAnsi="Tahoma" w:cs="Tahoma"/>
          <w:sz w:val="22"/>
          <w:szCs w:val="22"/>
        </w:rPr>
        <w:t>possibles</w:t>
      </w:r>
      <w:r w:rsidRPr="00B842EC">
        <w:rPr>
          <w:rFonts w:ascii="Tahoma" w:hAnsi="Tahoma" w:cs="Tahoma"/>
          <w:sz w:val="22"/>
          <w:szCs w:val="22"/>
        </w:rPr>
        <w:t>.</w:t>
      </w:r>
    </w:p>
    <w:p w14:paraId="55347A67" w14:textId="77777777" w:rsidR="0036420B" w:rsidRPr="00B842EC" w:rsidRDefault="00F668FF" w:rsidP="00F668FF">
      <w:pPr>
        <w:pStyle w:val="ListParagraph"/>
        <w:numPr>
          <w:ilvl w:val="0"/>
          <w:numId w:val="2"/>
        </w:numPr>
        <w:rPr>
          <w:rFonts w:ascii="Tahoma" w:hAnsi="Tahoma" w:cs="Tahoma"/>
          <w:sz w:val="22"/>
          <w:szCs w:val="22"/>
        </w:rPr>
      </w:pPr>
      <w:r w:rsidRPr="00B842EC">
        <w:rPr>
          <w:rFonts w:ascii="Tahoma" w:hAnsi="Tahoma" w:cs="Tahoma"/>
          <w:sz w:val="22"/>
          <w:szCs w:val="22"/>
        </w:rPr>
        <w:t xml:space="preserve">Chaque période a une couleur différente afin de bien les distinguer les unes des autres. (vert pâle, </w:t>
      </w:r>
      <w:proofErr w:type="gramStart"/>
      <w:r w:rsidRPr="00B842EC">
        <w:rPr>
          <w:rFonts w:ascii="Tahoma" w:hAnsi="Tahoma" w:cs="Tahoma"/>
          <w:sz w:val="22"/>
          <w:szCs w:val="22"/>
        </w:rPr>
        <w:t>ivoire ,</w:t>
      </w:r>
      <w:proofErr w:type="gramEnd"/>
      <w:r w:rsidRPr="00B842EC">
        <w:rPr>
          <w:rFonts w:ascii="Tahoma" w:hAnsi="Tahoma" w:cs="Tahoma"/>
          <w:sz w:val="22"/>
          <w:szCs w:val="22"/>
        </w:rPr>
        <w:t xml:space="preserve"> jaune et orange) La deuxième période ivoire </w:t>
      </w:r>
      <w:proofErr w:type="gramStart"/>
      <w:r w:rsidRPr="00B842EC">
        <w:rPr>
          <w:rFonts w:ascii="Tahoma" w:hAnsi="Tahoma" w:cs="Tahoma"/>
          <w:sz w:val="22"/>
          <w:szCs w:val="22"/>
        </w:rPr>
        <w:t>a</w:t>
      </w:r>
      <w:proofErr w:type="gramEnd"/>
      <w:r w:rsidRPr="00B842EC">
        <w:rPr>
          <w:rFonts w:ascii="Tahoma" w:hAnsi="Tahoma" w:cs="Tahoma"/>
          <w:sz w:val="22"/>
          <w:szCs w:val="22"/>
        </w:rPr>
        <w:t xml:space="preserve"> une ombre verte afin de bien la lier aux préparatifs de la SAÉ, malgré l’insistance des compétences en éthique et cultures religieuses</w:t>
      </w:r>
      <w:r w:rsidR="00B842EC">
        <w:rPr>
          <w:rFonts w:ascii="Tahoma" w:hAnsi="Tahoma" w:cs="Tahoma"/>
          <w:sz w:val="22"/>
          <w:szCs w:val="22"/>
        </w:rPr>
        <w:t>, s</w:t>
      </w:r>
      <w:r w:rsidRPr="00B842EC">
        <w:rPr>
          <w:rFonts w:ascii="Tahoma" w:hAnsi="Tahoma" w:cs="Tahoma"/>
          <w:sz w:val="22"/>
          <w:szCs w:val="22"/>
        </w:rPr>
        <w:t>es deux périodes sont liées malgré des thèmes qui semblent différents.</w:t>
      </w:r>
    </w:p>
    <w:p w14:paraId="5948A0CD" w14:textId="77777777" w:rsidR="00F668FF" w:rsidRPr="00B842EC" w:rsidRDefault="00267996" w:rsidP="00F668FF">
      <w:pPr>
        <w:pStyle w:val="ListParagraph"/>
        <w:numPr>
          <w:ilvl w:val="0"/>
          <w:numId w:val="2"/>
        </w:numPr>
        <w:rPr>
          <w:rFonts w:ascii="Tahoma" w:hAnsi="Tahoma" w:cs="Tahoma"/>
          <w:sz w:val="22"/>
          <w:szCs w:val="22"/>
        </w:rPr>
      </w:pPr>
      <w:r w:rsidRPr="00B842EC">
        <w:rPr>
          <w:rFonts w:ascii="Tahoma" w:hAnsi="Tahoma" w:cs="Tahoma"/>
          <w:sz w:val="22"/>
          <w:szCs w:val="22"/>
        </w:rPr>
        <w:t>Lorsque l’on ouvre l’objet de la « </w:t>
      </w:r>
      <w:r w:rsidRPr="00B842EC">
        <w:rPr>
          <w:rFonts w:ascii="Tahoma" w:hAnsi="Tahoma" w:cs="Tahoma"/>
          <w:sz w:val="22"/>
          <w:szCs w:val="22"/>
          <w:highlight w:val="yellow"/>
        </w:rPr>
        <w:t>révision des acquis</w:t>
      </w:r>
      <w:r w:rsidRPr="00B842EC">
        <w:rPr>
          <w:rFonts w:ascii="Tahoma" w:hAnsi="Tahoma" w:cs="Tahoma"/>
          <w:sz w:val="22"/>
          <w:szCs w:val="22"/>
        </w:rPr>
        <w:t xml:space="preserve"> », les notions de bases essentielles au travail se retrouvent en </w:t>
      </w:r>
      <w:r w:rsidRPr="00B842EC">
        <w:rPr>
          <w:rFonts w:ascii="Tahoma" w:hAnsi="Tahoma" w:cs="Tahoma"/>
          <w:color w:val="BC24B4"/>
          <w:sz w:val="22"/>
          <w:szCs w:val="22"/>
        </w:rPr>
        <w:t xml:space="preserve">mauve </w:t>
      </w:r>
      <w:r w:rsidRPr="00B842EC">
        <w:rPr>
          <w:rFonts w:ascii="Tahoma" w:hAnsi="Tahoma" w:cs="Tahoma"/>
          <w:sz w:val="22"/>
          <w:szCs w:val="22"/>
        </w:rPr>
        <w:t xml:space="preserve">afin de constater </w:t>
      </w:r>
      <w:proofErr w:type="gramStart"/>
      <w:r w:rsidRPr="00B842EC">
        <w:rPr>
          <w:rFonts w:ascii="Tahoma" w:hAnsi="Tahoma" w:cs="Tahoma"/>
          <w:sz w:val="22"/>
          <w:szCs w:val="22"/>
        </w:rPr>
        <w:t>qu’ il</w:t>
      </w:r>
      <w:proofErr w:type="gramEnd"/>
      <w:r w:rsidRPr="00B842EC">
        <w:rPr>
          <w:rFonts w:ascii="Tahoma" w:hAnsi="Tahoma" w:cs="Tahoma"/>
          <w:sz w:val="22"/>
          <w:szCs w:val="22"/>
        </w:rPr>
        <w:t xml:space="preserve"> vaut mieux les voir avant le travail dans le chapitre mauve aussi; voir : « avant la SAÉ. »</w:t>
      </w:r>
    </w:p>
    <w:p w14:paraId="524DBB14" w14:textId="77777777" w:rsidR="00267996" w:rsidRDefault="00267996" w:rsidP="00F668FF">
      <w:pPr>
        <w:pStyle w:val="ListParagraph"/>
        <w:numPr>
          <w:ilvl w:val="0"/>
          <w:numId w:val="2"/>
        </w:numPr>
        <w:rPr>
          <w:rFonts w:ascii="Tahoma" w:hAnsi="Tahoma" w:cs="Tahoma"/>
          <w:b/>
          <w:sz w:val="22"/>
          <w:szCs w:val="22"/>
          <w:u w:val="single"/>
        </w:rPr>
      </w:pPr>
      <w:r w:rsidRPr="00B842EC">
        <w:rPr>
          <w:rFonts w:ascii="Tahoma" w:hAnsi="Tahoma" w:cs="Tahoma"/>
          <w:sz w:val="22"/>
          <w:szCs w:val="22"/>
        </w:rPr>
        <w:t>L’ombre de l’objet « </w:t>
      </w:r>
      <w:r w:rsidRPr="00B842EC">
        <w:rPr>
          <w:rFonts w:ascii="Tahoma" w:hAnsi="Tahoma" w:cs="Tahoma"/>
          <w:sz w:val="22"/>
          <w:szCs w:val="22"/>
          <w:highlight w:val="yellow"/>
        </w:rPr>
        <w:t>réalisations ordonnées</w:t>
      </w:r>
      <w:r w:rsidRPr="00B842EC">
        <w:rPr>
          <w:rFonts w:ascii="Tahoma" w:hAnsi="Tahoma" w:cs="Tahoma"/>
          <w:sz w:val="22"/>
          <w:szCs w:val="22"/>
        </w:rPr>
        <w:t xml:space="preserve"> » est </w:t>
      </w:r>
      <w:r w:rsidRPr="00B842EC">
        <w:rPr>
          <w:rFonts w:ascii="Tahoma" w:hAnsi="Tahoma" w:cs="Tahoma"/>
          <w:color w:val="A81BBD"/>
          <w:sz w:val="22"/>
          <w:szCs w:val="22"/>
        </w:rPr>
        <w:t>rose-mauve</w:t>
      </w:r>
      <w:r w:rsidRPr="00B842EC">
        <w:rPr>
          <w:rFonts w:ascii="Tahoma" w:hAnsi="Tahoma" w:cs="Tahoma"/>
          <w:sz w:val="22"/>
          <w:szCs w:val="22"/>
        </w:rPr>
        <w:t xml:space="preserve"> pour le lien avec les préparatifs mais aussi avec les grandes lignes roses qui nous appellent à toujours faire des liens entre ce que nous savons et ce que nous voulons faire; </w:t>
      </w:r>
      <w:r w:rsidR="007A6CB0">
        <w:rPr>
          <w:rFonts w:ascii="Tahoma" w:hAnsi="Tahoma" w:cs="Tahoma"/>
          <w:b/>
          <w:sz w:val="22"/>
          <w:szCs w:val="22"/>
          <w:u w:val="single"/>
        </w:rPr>
        <w:t>Ce que je sais et C</w:t>
      </w:r>
      <w:r w:rsidRPr="00B842EC">
        <w:rPr>
          <w:rFonts w:ascii="Tahoma" w:hAnsi="Tahoma" w:cs="Tahoma"/>
          <w:b/>
          <w:sz w:val="22"/>
          <w:szCs w:val="22"/>
          <w:u w:val="single"/>
        </w:rPr>
        <w:t>e que je veux savoir?</w:t>
      </w:r>
    </w:p>
    <w:p w14:paraId="0B0EC99B" w14:textId="77777777" w:rsidR="007A6CB0" w:rsidRDefault="007A6CB0" w:rsidP="007A6CB0">
      <w:pPr>
        <w:pStyle w:val="ListParagraph"/>
        <w:ind w:left="1440"/>
        <w:rPr>
          <w:rFonts w:ascii="Tahoma" w:hAnsi="Tahoma" w:cs="Tahoma"/>
          <w:sz w:val="22"/>
          <w:szCs w:val="22"/>
        </w:rPr>
      </w:pPr>
    </w:p>
    <w:p w14:paraId="515902E5" w14:textId="77777777" w:rsidR="007A6CB0" w:rsidRDefault="007A6CB0" w:rsidP="007A6CB0">
      <w:pPr>
        <w:pStyle w:val="ListParagraph"/>
        <w:ind w:left="1440"/>
        <w:rPr>
          <w:rFonts w:ascii="Tahoma" w:hAnsi="Tahoma" w:cs="Tahoma"/>
          <w:sz w:val="22"/>
          <w:szCs w:val="22"/>
        </w:rPr>
      </w:pPr>
      <w:r>
        <w:rPr>
          <w:rFonts w:ascii="Tahoma" w:hAnsi="Tahoma" w:cs="Tahoma"/>
          <w:sz w:val="22"/>
          <w:szCs w:val="22"/>
        </w:rPr>
        <w:t>J’espère que vous saurez aider le père Noël à faire son grand voyage autour du monde!</w:t>
      </w:r>
    </w:p>
    <w:p w14:paraId="5ED0DEE2" w14:textId="77777777" w:rsidR="007A6CB0" w:rsidRDefault="007A6CB0" w:rsidP="007A6CB0">
      <w:pPr>
        <w:pStyle w:val="ListParagraph"/>
        <w:ind w:left="1440"/>
        <w:rPr>
          <w:rFonts w:ascii="Tahoma" w:hAnsi="Tahoma" w:cs="Tahoma"/>
          <w:sz w:val="22"/>
          <w:szCs w:val="22"/>
        </w:rPr>
      </w:pPr>
      <w:r>
        <w:rPr>
          <w:rFonts w:ascii="Tahoma" w:hAnsi="Tahoma" w:cs="Tahoma"/>
          <w:sz w:val="22"/>
          <w:szCs w:val="22"/>
        </w:rPr>
        <w:t>Bonne lecture!</w:t>
      </w:r>
    </w:p>
    <w:p w14:paraId="0E038030" w14:textId="77777777" w:rsidR="007A6CB0" w:rsidRPr="00B842EC" w:rsidRDefault="007A6CB0" w:rsidP="007A6CB0">
      <w:pPr>
        <w:pStyle w:val="ListParagraph"/>
        <w:ind w:left="1440"/>
        <w:rPr>
          <w:rFonts w:ascii="Tahoma" w:hAnsi="Tahoma" w:cs="Tahoma"/>
          <w:b/>
          <w:sz w:val="22"/>
          <w:szCs w:val="22"/>
          <w:u w:val="single"/>
        </w:rPr>
      </w:pPr>
      <w:r>
        <w:rPr>
          <w:rFonts w:ascii="Tahoma" w:hAnsi="Tahoma" w:cs="Tahoma"/>
          <w:sz w:val="22"/>
          <w:szCs w:val="22"/>
        </w:rPr>
        <w:t>Chantale Hébert</w:t>
      </w:r>
    </w:p>
    <w:sectPr w:rsidR="007A6CB0" w:rsidRPr="00B842EC" w:rsidSect="00172DD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9D9"/>
    <w:multiLevelType w:val="hybridMultilevel"/>
    <w:tmpl w:val="5EFC6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1E821B6"/>
    <w:multiLevelType w:val="hybridMultilevel"/>
    <w:tmpl w:val="F52A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D2"/>
    <w:rsid w:val="00172DD3"/>
    <w:rsid w:val="001B36C0"/>
    <w:rsid w:val="00215CD2"/>
    <w:rsid w:val="00267996"/>
    <w:rsid w:val="00317151"/>
    <w:rsid w:val="0036420B"/>
    <w:rsid w:val="007A6CB0"/>
    <w:rsid w:val="00B842EC"/>
    <w:rsid w:val="00D54700"/>
    <w:rsid w:val="00F668F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644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C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409</Words>
  <Characters>2334</Characters>
  <Application>Microsoft Macintosh Word</Application>
  <DocSecurity>0</DocSecurity>
  <Lines>19</Lines>
  <Paragraphs>5</Paragraphs>
  <ScaleCrop>false</ScaleCrop>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Chantale Hébert</dc:creator>
  <cp:keywords/>
  <dc:description/>
  <cp:lastModifiedBy>Chantale Hébert</cp:lastModifiedBy>
  <cp:revision>4</cp:revision>
  <dcterms:created xsi:type="dcterms:W3CDTF">2015-12-09T17:01:00Z</dcterms:created>
  <dcterms:modified xsi:type="dcterms:W3CDTF">2015-12-09T18:03:00Z</dcterms:modified>
</cp:coreProperties>
</file>