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067CD2" w:rsidRPr="00F97FF6" w:rsidRDefault="00067CD2" w:rsidP="00067CD2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0" t="0" r="9525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067CD2" w:rsidRPr="00F97FF6" w:rsidRDefault="00067CD2" w:rsidP="00067CD2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0" t="0" r="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rPr>
          <w:b/>
          <w:sz w:val="40"/>
          <w:szCs w:val="40"/>
        </w:rPr>
      </w:pPr>
    </w:p>
    <w:p w:rsidR="00067CD2" w:rsidRPr="003F123C" w:rsidRDefault="00067CD2" w:rsidP="00067CD2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:rsidR="00067CD2" w:rsidRPr="003F123C" w:rsidRDefault="00067CD2" w:rsidP="00067CD2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067CD2" w:rsidRPr="003F123C" w:rsidRDefault="00067CD2" w:rsidP="00067CD2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067CD2" w:rsidRPr="00031147" w:rsidRDefault="00067CD2" w:rsidP="00067CD2">
      <w:pPr>
        <w:spacing w:after="0"/>
        <w:jc w:val="center"/>
        <w:rPr>
          <w:sz w:val="36"/>
          <w:szCs w:val="36"/>
        </w:rPr>
      </w:pPr>
    </w:p>
    <w:p w:rsidR="00067CD2" w:rsidRPr="000E4375" w:rsidRDefault="00067CD2" w:rsidP="00067CD2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Prof. </w:t>
      </w:r>
      <w:r w:rsidR="00926409">
        <w:rPr>
          <w:b/>
          <w:sz w:val="40"/>
          <w:szCs w:val="40"/>
        </w:rPr>
        <w:t>De Luca Fiorella</w:t>
      </w:r>
    </w:p>
    <w:p w:rsidR="00067CD2" w:rsidRDefault="00067CD2" w:rsidP="00067CD2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Disciplina </w:t>
      </w:r>
      <w:r w:rsidR="00926409">
        <w:rPr>
          <w:b/>
          <w:sz w:val="40"/>
          <w:szCs w:val="40"/>
        </w:rPr>
        <w:t>Scienze</w:t>
      </w:r>
    </w:p>
    <w:p w:rsidR="00067CD2" w:rsidRPr="000E4375" w:rsidRDefault="00067CD2" w:rsidP="00067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926409">
        <w:rPr>
          <w:b/>
          <w:sz w:val="40"/>
          <w:szCs w:val="40"/>
        </w:rPr>
        <w:t>Scientifico- tecnologico</w:t>
      </w:r>
    </w:p>
    <w:p w:rsidR="00067CD2" w:rsidRPr="000E4375" w:rsidRDefault="00067CD2" w:rsidP="00067CD2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Classe </w:t>
      </w:r>
      <w:r w:rsidR="00926409">
        <w:rPr>
          <w:b/>
          <w:sz w:val="40"/>
          <w:szCs w:val="40"/>
        </w:rPr>
        <w:t xml:space="preserve"> Prima E</w:t>
      </w:r>
    </w:p>
    <w:p w:rsidR="00067CD2" w:rsidRPr="003F123C" w:rsidRDefault="00067CD2" w:rsidP="00067CD2">
      <w:pPr>
        <w:jc w:val="center"/>
        <w:rPr>
          <w:b/>
          <w:sz w:val="40"/>
          <w:szCs w:val="40"/>
        </w:rPr>
      </w:pPr>
      <w:proofErr w:type="spellStart"/>
      <w:r w:rsidRPr="000E4375">
        <w:rPr>
          <w:b/>
          <w:sz w:val="40"/>
          <w:szCs w:val="40"/>
        </w:rPr>
        <w:t>a.s.</w:t>
      </w:r>
      <w:proofErr w:type="spellEnd"/>
      <w:r w:rsidRPr="000E4375">
        <w:rPr>
          <w:b/>
          <w:sz w:val="40"/>
          <w:szCs w:val="40"/>
        </w:rPr>
        <w:t xml:space="preserve"> </w:t>
      </w:r>
      <w:r w:rsidR="00611454">
        <w:rPr>
          <w:b/>
          <w:sz w:val="40"/>
          <w:szCs w:val="40"/>
        </w:rPr>
        <w:t>2016-17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RPr="005232FE" w:rsidTr="00831963">
        <w:tc>
          <w:tcPr>
            <w:tcW w:w="14427" w:type="dxa"/>
          </w:tcPr>
          <w:p w:rsidR="00067CD2" w:rsidRPr="006820FA" w:rsidRDefault="00067CD2" w:rsidP="00611454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ANALISI DELLA SITUAZIONE DI PA</w:t>
            </w:r>
            <w:r w:rsidR="00611454">
              <w:rPr>
                <w:b/>
                <w:sz w:val="28"/>
                <w:szCs w:val="28"/>
              </w:rPr>
              <w:t>RTE</w:t>
            </w:r>
            <w:r w:rsidRPr="006820FA">
              <w:rPr>
                <w:b/>
                <w:sz w:val="28"/>
                <w:szCs w:val="28"/>
              </w:rPr>
              <w:t>NZA</w:t>
            </w:r>
          </w:p>
        </w:tc>
      </w:tr>
      <w:tr w:rsidR="00067CD2" w:rsidRPr="005232FE" w:rsidTr="00831963">
        <w:tc>
          <w:tcPr>
            <w:tcW w:w="14427" w:type="dxa"/>
          </w:tcPr>
          <w:p w:rsidR="00067CD2" w:rsidRDefault="00FA3AF0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classe prima E  si presenta costituita da  un equilibrato rapporto numerico tra alunni ed alunne provenienti da più scuole .</w:t>
            </w:r>
            <w:r w:rsidR="00A426DC">
              <w:rPr>
                <w:b/>
                <w:sz w:val="24"/>
                <w:szCs w:val="24"/>
              </w:rPr>
              <w:t xml:space="preserve">Dopo la prima fase di accoglienza sono state proposte delle attività  favorevoli all’ istaurarsi di  relazioni interpersonali dalle quali sono emerse condizioni generali eterogenee per formazione culturale e prerequisiti di conoscenze .Per una buona parte degli alunni , i test d’ ingresso hanno evidenziato mediocri competenze specifiche riguardanti le basi  caratterizzanti le discipline di tipo </w:t>
            </w:r>
            <w:r w:rsidR="00C71FA1">
              <w:rPr>
                <w:b/>
                <w:sz w:val="24"/>
                <w:szCs w:val="24"/>
              </w:rPr>
              <w:t xml:space="preserve">sperimentale </w:t>
            </w:r>
            <w:r w:rsidR="00A426DC">
              <w:rPr>
                <w:b/>
                <w:sz w:val="24"/>
                <w:szCs w:val="24"/>
              </w:rPr>
              <w:t>quali la chimica e le scienze</w:t>
            </w:r>
            <w:r w:rsidR="00C71FA1">
              <w:rPr>
                <w:b/>
                <w:sz w:val="24"/>
                <w:szCs w:val="24"/>
              </w:rPr>
              <w:t xml:space="preserve">. </w:t>
            </w:r>
            <w:r w:rsidR="00746762">
              <w:rPr>
                <w:b/>
                <w:sz w:val="24"/>
                <w:szCs w:val="24"/>
              </w:rPr>
              <w:t xml:space="preserve">Nelle successive poche lezioni </w:t>
            </w:r>
            <w:r w:rsidR="00C71FA1">
              <w:rPr>
                <w:b/>
                <w:sz w:val="24"/>
                <w:szCs w:val="24"/>
              </w:rPr>
              <w:t>,</w:t>
            </w:r>
            <w:r w:rsidR="00746762">
              <w:rPr>
                <w:b/>
                <w:sz w:val="24"/>
                <w:szCs w:val="24"/>
              </w:rPr>
              <w:t>effettuate</w:t>
            </w:r>
            <w:r w:rsidR="00C71FA1">
              <w:rPr>
                <w:b/>
                <w:sz w:val="24"/>
                <w:szCs w:val="24"/>
              </w:rPr>
              <w:t xml:space="preserve"> finora,</w:t>
            </w:r>
            <w:r w:rsidR="00746762">
              <w:rPr>
                <w:b/>
                <w:sz w:val="24"/>
                <w:szCs w:val="24"/>
              </w:rPr>
              <w:t xml:space="preserve"> si è dato spazio ad esercitazioni e brevi relazioni in classe e</w:t>
            </w:r>
            <w:r w:rsidR="00C71FA1">
              <w:rPr>
                <w:b/>
                <w:sz w:val="24"/>
                <w:szCs w:val="24"/>
              </w:rPr>
              <w:t xml:space="preserve"> per</w:t>
            </w:r>
            <w:r w:rsidR="00746762">
              <w:rPr>
                <w:b/>
                <w:sz w:val="24"/>
                <w:szCs w:val="24"/>
              </w:rPr>
              <w:t xml:space="preserve"> casa</w:t>
            </w:r>
            <w:r w:rsidR="00C71FA1">
              <w:rPr>
                <w:b/>
                <w:sz w:val="24"/>
                <w:szCs w:val="24"/>
              </w:rPr>
              <w:t>,</w:t>
            </w:r>
            <w:r w:rsidR="00746762">
              <w:rPr>
                <w:b/>
                <w:sz w:val="24"/>
                <w:szCs w:val="24"/>
              </w:rPr>
              <w:t xml:space="preserve"> </w:t>
            </w:r>
            <w:r w:rsidR="00C71FA1">
              <w:rPr>
                <w:b/>
                <w:sz w:val="24"/>
                <w:szCs w:val="24"/>
              </w:rPr>
              <w:t>dalla valutazione delle quali</w:t>
            </w:r>
            <w:r w:rsidR="00746762">
              <w:rPr>
                <w:b/>
                <w:sz w:val="24"/>
                <w:szCs w:val="24"/>
              </w:rPr>
              <w:t xml:space="preserve"> </w:t>
            </w:r>
            <w:r w:rsidR="00C71FA1">
              <w:rPr>
                <w:b/>
                <w:sz w:val="24"/>
                <w:szCs w:val="24"/>
              </w:rPr>
              <w:t xml:space="preserve">appare un livello generale piuttosto carente nella definizione di concetti  e nell’ applicazione degli strumenti matematici e fisici di base .La programmazione </w:t>
            </w:r>
            <w:r w:rsidR="00462A79">
              <w:rPr>
                <w:b/>
                <w:sz w:val="24"/>
                <w:szCs w:val="24"/>
              </w:rPr>
              <w:t xml:space="preserve"> delle attività, </w:t>
            </w:r>
            <w:r w:rsidR="00C71FA1">
              <w:rPr>
                <w:b/>
                <w:sz w:val="24"/>
                <w:szCs w:val="24"/>
              </w:rPr>
              <w:t>avviat</w:t>
            </w:r>
            <w:r w:rsidR="00462A79">
              <w:rPr>
                <w:b/>
                <w:sz w:val="24"/>
                <w:szCs w:val="24"/>
              </w:rPr>
              <w:t>e</w:t>
            </w:r>
            <w:r w:rsidR="00C71FA1">
              <w:rPr>
                <w:b/>
                <w:sz w:val="24"/>
                <w:szCs w:val="24"/>
              </w:rPr>
              <w:t xml:space="preserve"> </w:t>
            </w:r>
            <w:r w:rsidR="00462A79">
              <w:rPr>
                <w:b/>
                <w:sz w:val="24"/>
                <w:szCs w:val="24"/>
              </w:rPr>
              <w:t xml:space="preserve"> per il primo modulo dell’U.D.A. n 1, </w:t>
            </w:r>
            <w:r w:rsidR="00C71FA1">
              <w:rPr>
                <w:b/>
                <w:sz w:val="24"/>
                <w:szCs w:val="24"/>
              </w:rPr>
              <w:t>mostra</w:t>
            </w:r>
            <w:r w:rsidR="00462A79">
              <w:rPr>
                <w:b/>
                <w:sz w:val="24"/>
                <w:szCs w:val="24"/>
              </w:rPr>
              <w:t>,</w:t>
            </w:r>
            <w:r w:rsidR="00C71FA1">
              <w:rPr>
                <w:b/>
                <w:sz w:val="24"/>
                <w:szCs w:val="24"/>
              </w:rPr>
              <w:t xml:space="preserve"> comunque</w:t>
            </w:r>
            <w:r w:rsidR="00462A79">
              <w:rPr>
                <w:b/>
                <w:sz w:val="24"/>
                <w:szCs w:val="24"/>
              </w:rPr>
              <w:t>,</w:t>
            </w:r>
            <w:r w:rsidR="00C71FA1">
              <w:rPr>
                <w:b/>
                <w:sz w:val="24"/>
                <w:szCs w:val="24"/>
              </w:rPr>
              <w:t xml:space="preserve"> per alcuni alunni </w:t>
            </w:r>
            <w:r w:rsidR="00462A79">
              <w:rPr>
                <w:b/>
                <w:sz w:val="24"/>
                <w:szCs w:val="24"/>
              </w:rPr>
              <w:t xml:space="preserve">già </w:t>
            </w:r>
            <w:r w:rsidR="00C71FA1">
              <w:rPr>
                <w:b/>
                <w:sz w:val="24"/>
                <w:szCs w:val="24"/>
              </w:rPr>
              <w:t>una buona organizzazione del nuovo  tipo di studio e disponibilità al dialogo</w:t>
            </w:r>
            <w:r w:rsidR="00462A79">
              <w:rPr>
                <w:b/>
                <w:sz w:val="24"/>
                <w:szCs w:val="24"/>
              </w:rPr>
              <w:t xml:space="preserve">. </w:t>
            </w:r>
          </w:p>
          <w:p w:rsidR="00067CD2" w:rsidRPr="005232FE" w:rsidRDefault="00067CD2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67CD2" w:rsidRDefault="00746762" w:rsidP="00067CD2">
      <w:r>
        <w:t>i</w:t>
      </w:r>
    </w:p>
    <w:p w:rsidR="00067CD2" w:rsidRPr="00C662EB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:rsidR="00067CD2" w:rsidRPr="000C372B" w:rsidRDefault="00067CD2" w:rsidP="00831963">
            <w:pPr>
              <w:rPr>
                <w:b/>
                <w:caps/>
              </w:rPr>
            </w:pP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95320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067CD2" w:rsidRPr="000C372B" w:rsidRDefault="00067CD2" w:rsidP="00831963"/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:rsidR="00067CD2" w:rsidRPr="000C372B" w:rsidRDefault="00067CD2" w:rsidP="00831963">
            <w:pPr>
              <w:ind w:left="397"/>
            </w:pPr>
          </w:p>
        </w:tc>
      </w:tr>
      <w:tr w:rsidR="00067CD2" w:rsidRPr="000C372B" w:rsidTr="00831963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ind w:left="360"/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  <w:p w:rsidR="002A7597" w:rsidRPr="000C372B" w:rsidRDefault="002A7597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953202" w:rsidRDefault="00067CD2" w:rsidP="00831963">
            <w:pPr>
              <w:ind w:left="360"/>
              <w:rPr>
                <w:sz w:val="24"/>
                <w:szCs w:val="24"/>
              </w:rPr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:rsidR="00067CD2" w:rsidRPr="006601FB" w:rsidRDefault="00067CD2" w:rsidP="00831963">
            <w:pPr>
              <w:rPr>
                <w:sz w:val="24"/>
                <w:szCs w:val="24"/>
              </w:rPr>
            </w:pP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:rsidR="00067CD2" w:rsidRPr="000C372B" w:rsidRDefault="00067CD2" w:rsidP="00831963">
            <w:pPr>
              <w:ind w:left="434"/>
            </w:pPr>
          </w:p>
        </w:tc>
      </w:tr>
    </w:tbl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U.D.A. 1:   </w:t>
      </w:r>
      <w:r w:rsidR="00583AD2">
        <w:rPr>
          <w:b/>
          <w:sz w:val="28"/>
          <w:szCs w:val="28"/>
        </w:rPr>
        <w:t>TITOLO :</w:t>
      </w:r>
      <w:r>
        <w:rPr>
          <w:b/>
          <w:sz w:val="28"/>
          <w:szCs w:val="28"/>
        </w:rPr>
        <w:t xml:space="preserve"> </w:t>
      </w:r>
      <w:r w:rsidRPr="008C795E">
        <w:t xml:space="preserve"> </w:t>
      </w:r>
      <w:r w:rsidRPr="008C795E">
        <w:rPr>
          <w:b/>
          <w:sz w:val="28"/>
          <w:szCs w:val="28"/>
        </w:rPr>
        <w:t xml:space="preserve">Introduzione alla chimica </w:t>
      </w:r>
      <w:r>
        <w:rPr>
          <w:b/>
          <w:sz w:val="28"/>
          <w:szCs w:val="28"/>
        </w:rPr>
        <w:t xml:space="preserve">                                              TEMPO PREVISTO: </w:t>
      </w:r>
      <w:r w:rsidRPr="00E02193">
        <w:t xml:space="preserve"> </w:t>
      </w:r>
      <w:r w:rsidRPr="00E02193">
        <w:rPr>
          <w:b/>
          <w:sz w:val="28"/>
          <w:szCs w:val="28"/>
        </w:rPr>
        <w:t>Settembre, Ottobre, Novembre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270"/>
        <w:gridCol w:w="2380"/>
        <w:gridCol w:w="2344"/>
        <w:gridCol w:w="2563"/>
        <w:gridCol w:w="2551"/>
      </w:tblGrid>
      <w:tr w:rsidR="00067CD2" w:rsidRPr="005232FE" w:rsidTr="00831963">
        <w:tc>
          <w:tcPr>
            <w:tcW w:w="2317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270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380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344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563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067CD2" w:rsidRPr="00370ABC" w:rsidRDefault="00067CD2" w:rsidP="0083196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317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t>-</w:t>
            </w:r>
            <w:r w:rsidRPr="008415EC">
              <w:rPr>
                <w:rFonts w:ascii="Trebuchet MS" w:hAnsi="Trebuchet MS"/>
                <w:sz w:val="18"/>
                <w:szCs w:val="18"/>
              </w:rPr>
              <w:t xml:space="preserve">Aver acquisito una formazione culturale equilibrata nei due versanti linguistico e scientifico; 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 xml:space="preserve">-Comprendere i nodi fondamentali dello sviluppo del pensiero, anche in dimensione storica, e i nessi tra i metodi di conoscenza propri delle scienze sperimentali e delle </w:t>
            </w:r>
            <w:r w:rsidRPr="008415EC">
              <w:rPr>
                <w:rFonts w:ascii="Trebuchet MS" w:hAnsi="Trebuchet MS"/>
                <w:sz w:val="18"/>
                <w:szCs w:val="18"/>
              </w:rPr>
              <w:lastRenderedPageBreak/>
              <w:t>discipline umanistiche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>-Aver acquisito un linguaggio specifico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  <w:lang w:eastAsia="ar-SA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>-Aver acquisito i contenuti fondamentali delle Scienze della Terra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662771" w:rsidRDefault="00067CD2" w:rsidP="00831963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270" w:type="dxa"/>
          </w:tcPr>
          <w:p w:rsidR="00067CD2" w:rsidRDefault="00067CD2" w:rsidP="0083196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67CD2" w:rsidRPr="008415EC" w:rsidRDefault="00067CD2" w:rsidP="0083196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color w:val="000000"/>
                <w:sz w:val="18"/>
                <w:szCs w:val="18"/>
              </w:rPr>
              <w:t>-Definire le varie fasi del metodo sperimentale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-Classificare le grandezze in fondamentali e derivate, intensive ed estensive.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-Utilizzare le opportune unità di misura del S.I.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-Esprimere correttamente una misura.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 xml:space="preserve">-Usare la notazione </w:t>
            </w:r>
            <w:r w:rsidRPr="008415EC">
              <w:rPr>
                <w:rFonts w:ascii="Times New Roman" w:hAnsi="Times New Roman"/>
                <w:sz w:val="18"/>
                <w:szCs w:val="18"/>
              </w:rPr>
              <w:lastRenderedPageBreak/>
              <w:t>scientifica per esprimere i dati.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 Leggere e costruire grafici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 Determinare sperimentalmente o con l’uso di tabelle e grafici le grandezze relative ai sistemi studiati.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-Definire correttamente calore e temperatura.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-Valutare il comportamento dei corpi in diversi stati di aggregazione di fronte a variazioni di pressione e di temperatura.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 Interpretare con il modello particellare i diversi stati della materia, le loro proprietà ed i passaggi di stato.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-Distinguere tra sostanza pura e miscuglio 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 xml:space="preserve">-Individuare le tecniche di separazione di una miscela nei suoi componenti. 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-Distinguere le trasformazioni fisiche da quelle chimiche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-Classificare le sostanze in elementi e composti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 xml:space="preserve">-Associare agli elementi il </w:t>
            </w:r>
            <w:r w:rsidRPr="008415EC">
              <w:rPr>
                <w:rFonts w:ascii="Times New Roman" w:hAnsi="Times New Roman"/>
                <w:sz w:val="18"/>
                <w:szCs w:val="18"/>
              </w:rPr>
              <w:lastRenderedPageBreak/>
              <w:t>corretto simbolo chimico.</w:t>
            </w:r>
          </w:p>
          <w:p w:rsidR="00067CD2" w:rsidRPr="008415EC" w:rsidRDefault="00067CD2" w:rsidP="0083196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-Leggere le formule chimiche</w:t>
            </w:r>
          </w:p>
          <w:p w:rsidR="00067CD2" w:rsidRPr="008415EC" w:rsidRDefault="00067CD2" w:rsidP="0083196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-Interpretare grafici e diagrammi</w:t>
            </w:r>
          </w:p>
          <w:p w:rsidR="00067CD2" w:rsidRPr="008415EC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067CD2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-La chimica ed il metodo scientifico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-Il sistema internazionale e le grandezze fondamentali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-Grandezze derivate: volume, densità, forza, energia e pressione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-Grandezze intensive ed estensive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 xml:space="preserve">-La notazione scientifica e i </w:t>
            </w:r>
            <w:r w:rsidRPr="008415EC">
              <w:rPr>
                <w:rFonts w:ascii="Times New Roman" w:hAnsi="Times New Roman"/>
                <w:sz w:val="18"/>
                <w:szCs w:val="18"/>
              </w:rPr>
              <w:lastRenderedPageBreak/>
              <w:t>calcoli con le misure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-Valutazione di una misura: accuratezza e precisione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-Gli stati fisici della materia e i passaggi di stato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-Natura corpuscolare della materia e passaggi di stato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-Sostanze pure e miscugli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-Tecniche di separazione di un miscuglio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-Trasformazioni chimiche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-Elementi e composti: simboli e formule chimiche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44" w:type="dxa"/>
          </w:tcPr>
          <w:p w:rsidR="00067CD2" w:rsidRDefault="00067CD2" w:rsidP="00831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sercitazioni scritte e /o pratiche volte ad effettuare semplici misure da esprimere con la corretta unità e, ove necessario, anche con la notazione scientifica</w:t>
            </w:r>
          </w:p>
        </w:tc>
        <w:tc>
          <w:tcPr>
            <w:tcW w:w="2563" w:type="dxa"/>
          </w:tcPr>
          <w:p w:rsidR="00067CD2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lmeno una verifica orale e, a discrezione del docente, anche verifiche scritte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competenze sociali e civiche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matematica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 livello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elementare per applicazione nell’ambito delle scienze sperimentali.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digitale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 base</w:t>
            </w:r>
          </w:p>
          <w:p w:rsidR="00067CD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>imparare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ad imparare.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Senso   </w:t>
            </w:r>
            <w:r w:rsidRPr="00D06792">
              <w:rPr>
                <w:rFonts w:ascii="Times New Roman" w:hAnsi="Times New Roman"/>
                <w:sz w:val="18"/>
                <w:szCs w:val="18"/>
              </w:rPr>
              <w:t>di iniziativa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lastRenderedPageBreak/>
              <w:t>consapevolezza ed espressione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culturale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proprio bagaglio di conoscenze e competenze, già certificate.</w:t>
            </w:r>
          </w:p>
        </w:tc>
      </w:tr>
    </w:tbl>
    <w:p w:rsidR="00067CD2" w:rsidRDefault="00067CD2" w:rsidP="00067CD2">
      <w:r>
        <w:lastRenderedPageBreak/>
        <w:t>Y</w:t>
      </w:r>
    </w:p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 2:</w:t>
      </w:r>
      <w:r w:rsidRPr="006820FA">
        <w:rPr>
          <w:b/>
          <w:sz w:val="28"/>
          <w:szCs w:val="28"/>
        </w:rPr>
        <w:t xml:space="preserve"> </w:t>
      </w:r>
      <w:r w:rsidRPr="009407C8">
        <w:rPr>
          <w:b/>
          <w:sz w:val="28"/>
          <w:szCs w:val="28"/>
        </w:rPr>
        <w:t>La Terra nell’Universo</w:t>
      </w:r>
      <w:r>
        <w:rPr>
          <w:b/>
          <w:sz w:val="28"/>
          <w:szCs w:val="28"/>
        </w:rPr>
        <w:t xml:space="preserve">    </w:t>
      </w:r>
      <w:r w:rsidRPr="00940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TEMPO :    </w:t>
      </w:r>
      <w:r w:rsidRPr="009A3697">
        <w:rPr>
          <w:b/>
          <w:sz w:val="28"/>
          <w:szCs w:val="28"/>
        </w:rPr>
        <w:t>Novembre, Dicembre,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330"/>
        <w:gridCol w:w="2393"/>
        <w:gridCol w:w="2371"/>
        <w:gridCol w:w="2362"/>
        <w:gridCol w:w="2692"/>
      </w:tblGrid>
      <w:tr w:rsidR="00067CD2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404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. Osservare e analizzare fenomeni naturali </w:t>
            </w:r>
          </w:p>
          <w:p w:rsidR="00067CD2" w:rsidRDefault="00067CD2" w:rsidP="00831963">
            <w:pPr>
              <w:spacing w:after="0" w:line="240" w:lineRule="auto"/>
            </w:pPr>
            <w:r>
              <w:t>- Interpretare  fenomeni</w:t>
            </w:r>
          </w:p>
          <w:p w:rsidR="00067CD2" w:rsidRDefault="00067CD2" w:rsidP="00831963">
            <w:pPr>
              <w:spacing w:after="0" w:line="240" w:lineRule="auto"/>
            </w:pPr>
            <w:r>
              <w:t>- Comunicare nella propria lingua utilizzando un lessico specifico</w:t>
            </w: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Default="00067CD2" w:rsidP="00831963">
            <w:pPr>
              <w:spacing w:after="0" w:line="240" w:lineRule="auto"/>
            </w:pPr>
            <w:r>
              <w:t>-Interpretare dati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Giungere alla </w:t>
            </w:r>
            <w:r>
              <w:lastRenderedPageBreak/>
              <w:t>valutazione  del pianeta Terra quale  corpo celeste all’ interno  di più complessi  sistemi,  oltre quello solare.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Individuare i rapporti di forze e grandezze  che influenzano i moti e le strutture  dei corpi celesti.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-Conoscere le principali teorie sull’origine dell’Universo</w:t>
            </w:r>
          </w:p>
          <w:p w:rsidR="00067CD2" w:rsidRDefault="00067CD2" w:rsidP="00831963">
            <w:pPr>
              <w:spacing w:after="0" w:line="240" w:lineRule="auto"/>
            </w:pPr>
            <w:r>
              <w:t>-Identificare i principali tipi di corpi celesti</w:t>
            </w:r>
          </w:p>
          <w:p w:rsidR="00067CD2" w:rsidRDefault="00067CD2" w:rsidP="00831963">
            <w:pPr>
              <w:spacing w:after="0" w:line="240" w:lineRule="auto"/>
            </w:pPr>
            <w:r>
              <w:t>-Ricondurre le caratteristiche dei pianeti del sistema solare alla tipologia cui appartengono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-Collocare la Terra </w:t>
            </w:r>
            <w:r>
              <w:lastRenderedPageBreak/>
              <w:t>nell’Universo</w:t>
            </w:r>
          </w:p>
          <w:p w:rsidR="00067CD2" w:rsidRDefault="00067CD2" w:rsidP="00831963">
            <w:pPr>
              <w:spacing w:after="0" w:line="240" w:lineRule="auto"/>
            </w:pPr>
            <w:r>
              <w:t>-Riconoscere le conseguenze dei movimenti della Terra e della Luna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-Interpretare grafici e diagrammi</w:t>
            </w:r>
          </w:p>
        </w:tc>
        <w:tc>
          <w:tcPr>
            <w:tcW w:w="2404" w:type="dxa"/>
          </w:tcPr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Principali teorie sull’origine dell’Universo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Stelle e galassie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Il sole ed il sistema solare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Forma e dimensioni della Terra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Movimenti della Terra e loro conseguenze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La luna e le sue caratteristiche</w:t>
            </w:r>
          </w:p>
          <w:p w:rsidR="00067CD2" w:rsidRPr="005232FE" w:rsidRDefault="00067CD2" w:rsidP="00067CD2">
            <w:pPr>
              <w:numPr>
                <w:ilvl w:val="0"/>
                <w:numId w:val="3"/>
              </w:numPr>
              <w:spacing w:after="0" w:line="240" w:lineRule="auto"/>
            </w:pPr>
            <w:r>
              <w:t>-</w:t>
            </w:r>
            <w:r>
              <w:tab/>
              <w:t>Movimenti della luna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  <w:r w:rsidRPr="0066220A">
              <w:lastRenderedPageBreak/>
              <w:t>-Classificare i diversi corpi celesti in termini di complessità crescente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-Osservare  fenomeni naturali ,commentare  e descrivere, attraverso colloquio ,i temi proposti 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-Uso di testi, schemi o illustrazioni su argomenti  specifici 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-Applicazione di metodi  </w:t>
            </w:r>
            <w:r>
              <w:lastRenderedPageBreak/>
              <w:t>di ricerca con uso di LIM, Internet.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- Partecipazione a conferenze e ad eventuali  visite guidate. </w:t>
            </w:r>
          </w:p>
        </w:tc>
        <w:tc>
          <w:tcPr>
            <w:tcW w:w="2405" w:type="dxa"/>
          </w:tcPr>
          <w:p w:rsidR="00067CD2" w:rsidRPr="00C9486D" w:rsidRDefault="00067CD2" w:rsidP="00831963">
            <w:r w:rsidRPr="00C9486D">
              <w:lastRenderedPageBreak/>
              <w:t xml:space="preserve">Almeno una verifica orale e, discrezione del docente, anche verifiche scritte 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matematiche  per le applicazioni in calcoli ed esercitazioni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in campo scientifico,  acquisita nella scuola di provenienza .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competenza digitale a livello base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831963">
            <w:pPr>
              <w:spacing w:after="0" w:line="240" w:lineRule="auto"/>
              <w:ind w:left="720"/>
            </w:pPr>
            <w:r>
              <w:t>culturale personale ,sulla scorta dei livelli precedentemente  riconosciuti.</w:t>
            </w: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U.D.A. 3: </w:t>
      </w:r>
      <w:r w:rsidRPr="00C80046">
        <w:rPr>
          <w:b/>
          <w:sz w:val="28"/>
          <w:szCs w:val="28"/>
        </w:rPr>
        <w:t>Titolo   L’atmosfera e il clim</w:t>
      </w:r>
      <w:r>
        <w:rPr>
          <w:b/>
          <w:sz w:val="28"/>
          <w:szCs w:val="28"/>
        </w:rPr>
        <w:t xml:space="preserve">a    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:</w:t>
      </w:r>
      <w:r w:rsidRPr="00C80046">
        <w:t xml:space="preserve"> </w:t>
      </w:r>
      <w:r w:rsidRPr="00C80046">
        <w:rPr>
          <w:b/>
          <w:sz w:val="28"/>
          <w:szCs w:val="28"/>
        </w:rPr>
        <w:t>Febbraio-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332"/>
        <w:gridCol w:w="2391"/>
        <w:gridCol w:w="2371"/>
        <w:gridCol w:w="2362"/>
        <w:gridCol w:w="2692"/>
      </w:tblGrid>
      <w:tr w:rsidR="00067CD2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base </w:t>
            </w:r>
          </w:p>
        </w:tc>
      </w:tr>
      <w:tr w:rsidR="00067CD2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t>Comprendere il significato della diversità di fenomeni atmosferici  terrestri legati agli ambienti naturali e antropizzati.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Collegare le conoscenze acquisite offrendo una spiegazione integrata dei fenomeni studiati.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Proporre le proprie deduzioni  sui fattori climatici e atmosferici terrestri  e  sostenerne la validità .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- Definire, nelle linee generali, le caratteristiche e la dinamica dell’Atmosfera </w:t>
            </w:r>
          </w:p>
          <w:p w:rsidR="00067CD2" w:rsidRDefault="00067CD2" w:rsidP="00831963">
            <w:pPr>
              <w:spacing w:after="0" w:line="240" w:lineRule="auto"/>
            </w:pPr>
            <w:r>
              <w:t>-Riconoscere gli scambi di energia attraverso l’atmosfera</w:t>
            </w:r>
          </w:p>
          <w:p w:rsidR="00067CD2" w:rsidRDefault="00067CD2" w:rsidP="00831963">
            <w:pPr>
              <w:spacing w:after="0" w:line="240" w:lineRule="auto"/>
            </w:pPr>
            <w:r>
              <w:t>- Elencare i fattori che influiscono sulla temperatura dell’aria</w:t>
            </w:r>
          </w:p>
          <w:p w:rsidR="00067CD2" w:rsidRDefault="00067CD2" w:rsidP="00831963">
            <w:pPr>
              <w:spacing w:after="0" w:line="240" w:lineRule="auto"/>
            </w:pPr>
            <w:r>
              <w:t>-Distinguere le aree cicloniche e anticicloniche e individuare i loro effetti sulla circolazione dell’aria</w:t>
            </w:r>
          </w:p>
          <w:p w:rsidR="00067CD2" w:rsidRDefault="00067CD2" w:rsidP="00831963">
            <w:pPr>
              <w:spacing w:after="0" w:line="240" w:lineRule="auto"/>
            </w:pPr>
            <w:r>
              <w:t>-Interpretare e utilizzare grafici relativi alla composizione, struttura, pressione e temperatura dell’atmosfera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-Individuare le differenze tra tempo atmosferico e clima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t>La composizione dell’aria</w:t>
            </w:r>
          </w:p>
          <w:p w:rsidR="00067CD2" w:rsidRDefault="00067CD2" w:rsidP="00831963">
            <w:pPr>
              <w:spacing w:after="0" w:line="240" w:lineRule="auto"/>
            </w:pPr>
            <w:r>
              <w:t>-Le suddivisioni dell’atmosfera</w:t>
            </w:r>
          </w:p>
          <w:p w:rsidR="00067CD2" w:rsidRDefault="00067CD2" w:rsidP="00831963">
            <w:pPr>
              <w:spacing w:after="0" w:line="240" w:lineRule="auto"/>
            </w:pPr>
            <w:r>
              <w:t>-Riscaldamento dell’atmosfera</w:t>
            </w:r>
          </w:p>
          <w:p w:rsidR="00067CD2" w:rsidRDefault="00067CD2" w:rsidP="00831963">
            <w:pPr>
              <w:spacing w:after="0" w:line="240" w:lineRule="auto"/>
            </w:pPr>
            <w:r>
              <w:t>-Inquinamento atmosferico ed effetto serra</w:t>
            </w:r>
          </w:p>
          <w:p w:rsidR="00067CD2" w:rsidRDefault="00067CD2" w:rsidP="00831963">
            <w:pPr>
              <w:spacing w:after="0" w:line="240" w:lineRule="auto"/>
            </w:pPr>
            <w:r>
              <w:t>-Pressione atmosferica</w:t>
            </w:r>
          </w:p>
          <w:p w:rsidR="00067CD2" w:rsidRDefault="00067CD2" w:rsidP="00831963">
            <w:pPr>
              <w:spacing w:after="0" w:line="240" w:lineRule="auto"/>
            </w:pPr>
            <w:r>
              <w:t>-Umidità atmosferica</w:t>
            </w:r>
          </w:p>
          <w:p w:rsidR="00067CD2" w:rsidRDefault="00067CD2" w:rsidP="00831963">
            <w:pPr>
              <w:spacing w:after="0" w:line="240" w:lineRule="auto"/>
            </w:pPr>
            <w:r>
              <w:t>-I venti e la circolazione generale dell’aria</w:t>
            </w:r>
          </w:p>
          <w:p w:rsidR="00067CD2" w:rsidRDefault="00067CD2" w:rsidP="00831963">
            <w:pPr>
              <w:spacing w:after="0" w:line="240" w:lineRule="auto"/>
            </w:pPr>
            <w:r>
              <w:t>-Elementi e fattori del clima</w:t>
            </w:r>
          </w:p>
          <w:p w:rsidR="00067CD2" w:rsidRDefault="00067CD2" w:rsidP="00831963">
            <w:pPr>
              <w:spacing w:after="0" w:line="240" w:lineRule="auto"/>
            </w:pPr>
            <w:r>
              <w:t>-I principali tipi climatici e la loro distribuzione geografica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-I cambiamenti climatici ed il riscaldamento globale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Esercitazioni sul riconoscimento di aree di alta pressione e di bassa pressione e su come queste originino i diversi tipi di venti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Uso di testi, schemi ,diagrammi , filmati scientifici.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>Osservazioni  in ambienti  naturali.</w:t>
            </w: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F15C11">
              <w:t>Almeno una verifica orale e, a discrezione del docente, anche verifiche scritte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in campo scientifico maturata nella scuola di provenienza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consapevolezza ed espressione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culturale del proprio vissuto scolastico.</w:t>
            </w:r>
          </w:p>
          <w:p w:rsidR="00067CD2" w:rsidRPr="00DC291D" w:rsidRDefault="00067CD2" w:rsidP="00831963">
            <w:pPr>
              <w:jc w:val="center"/>
            </w:pP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  </w:t>
      </w:r>
      <w:r w:rsidRPr="006820FA">
        <w:rPr>
          <w:b/>
          <w:sz w:val="28"/>
          <w:szCs w:val="28"/>
        </w:rPr>
        <w:t xml:space="preserve"> </w:t>
      </w:r>
      <w:r w:rsidR="006169B3">
        <w:rPr>
          <w:b/>
          <w:sz w:val="28"/>
          <w:szCs w:val="28"/>
        </w:rPr>
        <w:t>TITOLO</w:t>
      </w:r>
      <w:bookmarkStart w:id="0" w:name="_GoBack"/>
      <w:bookmarkEnd w:id="0"/>
      <w:r>
        <w:rPr>
          <w:b/>
          <w:sz w:val="28"/>
          <w:szCs w:val="28"/>
        </w:rPr>
        <w:t>:</w:t>
      </w:r>
      <w:r w:rsidRPr="00CC06E6">
        <w:rPr>
          <w:b/>
          <w:sz w:val="28"/>
          <w:szCs w:val="28"/>
        </w:rPr>
        <w:t xml:space="preserve">   La dinamica e le strutture dell’idrosfera  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 : </w:t>
      </w:r>
      <w:r w:rsidRPr="00CC06E6">
        <w:rPr>
          <w:b/>
          <w:sz w:val="28"/>
          <w:szCs w:val="28"/>
        </w:rPr>
        <w:t xml:space="preserve">Aprile, </w:t>
      </w:r>
      <w:r>
        <w:rPr>
          <w:b/>
          <w:sz w:val="28"/>
          <w:szCs w:val="28"/>
        </w:rPr>
        <w:t xml:space="preserve"> </w:t>
      </w:r>
      <w:r w:rsidRPr="00CC06E6">
        <w:rPr>
          <w:b/>
          <w:sz w:val="28"/>
          <w:szCs w:val="28"/>
        </w:rPr>
        <w:t>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08"/>
        <w:gridCol w:w="2384"/>
        <w:gridCol w:w="2354"/>
        <w:gridCol w:w="2341"/>
        <w:gridCol w:w="2783"/>
      </w:tblGrid>
      <w:tr w:rsidR="00067CD2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</w:tc>
      </w:tr>
      <w:tr w:rsidR="00067CD2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t xml:space="preserve">Osservare e analizzare fenomeni naturali </w:t>
            </w:r>
          </w:p>
          <w:p w:rsidR="00067CD2" w:rsidRDefault="00067CD2" w:rsidP="00831963">
            <w:pPr>
              <w:spacing w:after="0" w:line="240" w:lineRule="auto"/>
            </w:pPr>
            <w:r>
              <w:t>- Interpretare fenomeni</w:t>
            </w:r>
          </w:p>
          <w:p w:rsidR="00067CD2" w:rsidRDefault="00067CD2" w:rsidP="00831963">
            <w:pPr>
              <w:spacing w:after="0" w:line="240" w:lineRule="auto"/>
            </w:pPr>
            <w:r>
              <w:t>- Comunicare nella propria lingua utilizzando un lessico specifico della disciplina.</w:t>
            </w: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-Interpretare dati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>--Definire gli elementi strutturali dei diversi componenti dell’Idrosfera</w:t>
            </w:r>
          </w:p>
          <w:p w:rsidR="00067CD2" w:rsidRDefault="00067CD2" w:rsidP="00831963">
            <w:pPr>
              <w:spacing w:after="0" w:line="240" w:lineRule="auto"/>
            </w:pPr>
            <w:r>
              <w:t>-Descrivere il ciclo dell’acqua</w:t>
            </w:r>
          </w:p>
          <w:p w:rsidR="00067CD2" w:rsidRDefault="00067CD2" w:rsidP="00831963">
            <w:pPr>
              <w:spacing w:after="0" w:line="240" w:lineRule="auto"/>
            </w:pPr>
            <w:r>
              <w:t>-Interpretare schemi relativi alla distribuzione delle acque terrestri e al ciclo dell’acqua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-Descrivere le caratteristiche delle </w:t>
            </w:r>
            <w:r>
              <w:lastRenderedPageBreak/>
              <w:t>acque marine , i loro movimenti e l’importanza che le correnti assumono per la vita sul nostro pianeta</w:t>
            </w:r>
          </w:p>
          <w:p w:rsidR="00067CD2" w:rsidRDefault="00067CD2" w:rsidP="00831963">
            <w:pPr>
              <w:spacing w:after="0" w:line="240" w:lineRule="auto"/>
            </w:pPr>
            <w:r>
              <w:t>- Riconoscere l’azione geomorfologica del mare</w:t>
            </w:r>
          </w:p>
          <w:p w:rsidR="00067CD2" w:rsidRDefault="00067CD2" w:rsidP="00831963">
            <w:pPr>
              <w:spacing w:after="0" w:line="240" w:lineRule="auto"/>
            </w:pPr>
            <w:r>
              <w:t>-Distinguere le caratteristiche delle acque continentali fluenti e solide</w:t>
            </w:r>
          </w:p>
          <w:p w:rsidR="00067CD2" w:rsidRDefault="00067CD2" w:rsidP="00831963">
            <w:pPr>
              <w:spacing w:after="0" w:line="240" w:lineRule="auto"/>
            </w:pPr>
            <w:r>
              <w:t>-Individuare l’azione geomorfologica delle acque correnti superficiali e dei ghiacciai</w:t>
            </w:r>
          </w:p>
          <w:p w:rsidR="00067CD2" w:rsidRDefault="00067CD2" w:rsidP="00831963">
            <w:pPr>
              <w:spacing w:after="0" w:line="240" w:lineRule="auto"/>
            </w:pPr>
            <w:r>
              <w:t>-Individuare nell’acqua una risorsa da tutelare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-Riconoscere i fattori di inquinamento delle acque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>-Il ciclo dell’acqua</w:t>
            </w:r>
          </w:p>
          <w:p w:rsidR="00067CD2" w:rsidRDefault="00067CD2" w:rsidP="00831963">
            <w:pPr>
              <w:spacing w:after="0" w:line="240" w:lineRule="auto"/>
            </w:pPr>
            <w:r>
              <w:t>-Distribuzione delle acque</w:t>
            </w:r>
          </w:p>
          <w:p w:rsidR="00067CD2" w:rsidRDefault="00067CD2" w:rsidP="00831963">
            <w:pPr>
              <w:spacing w:after="0" w:line="240" w:lineRule="auto"/>
            </w:pPr>
            <w:r>
              <w:t>-Oceani e mari</w:t>
            </w:r>
          </w:p>
          <w:p w:rsidR="00067CD2" w:rsidRDefault="00067CD2" w:rsidP="00831963">
            <w:pPr>
              <w:spacing w:after="0" w:line="240" w:lineRule="auto"/>
            </w:pPr>
            <w:r>
              <w:t>-Le caratteristiche delle acque marine</w:t>
            </w:r>
          </w:p>
          <w:p w:rsidR="00067CD2" w:rsidRDefault="00067CD2" w:rsidP="00831963">
            <w:pPr>
              <w:spacing w:after="0" w:line="240" w:lineRule="auto"/>
            </w:pPr>
            <w:r>
              <w:t>-Moto ondoso, maree e correnti marine</w:t>
            </w:r>
          </w:p>
          <w:p w:rsidR="00067CD2" w:rsidRDefault="00067CD2" w:rsidP="00831963">
            <w:pPr>
              <w:spacing w:after="0" w:line="240" w:lineRule="auto"/>
            </w:pPr>
            <w:r>
              <w:t>-L’azione geomorfologica del mare</w:t>
            </w:r>
          </w:p>
          <w:p w:rsidR="00067CD2" w:rsidRDefault="00067CD2" w:rsidP="00831963">
            <w:pPr>
              <w:spacing w:after="0" w:line="240" w:lineRule="auto"/>
            </w:pPr>
            <w:r>
              <w:t>-Inquinamento delle acque marine</w:t>
            </w:r>
          </w:p>
          <w:p w:rsidR="00067CD2" w:rsidRDefault="00067CD2" w:rsidP="00831963">
            <w:pPr>
              <w:spacing w:after="0" w:line="240" w:lineRule="auto"/>
            </w:pPr>
            <w:r>
              <w:lastRenderedPageBreak/>
              <w:t>-Le caratteristiche dei fiumi e i bacini idrografici</w:t>
            </w:r>
          </w:p>
          <w:p w:rsidR="00067CD2" w:rsidRDefault="00067CD2" w:rsidP="00831963">
            <w:pPr>
              <w:spacing w:after="0" w:line="240" w:lineRule="auto"/>
            </w:pPr>
            <w:r>
              <w:t>-L’azione geomorfologica delle acque correnti superficiali</w:t>
            </w:r>
          </w:p>
          <w:p w:rsidR="00067CD2" w:rsidRDefault="00067CD2" w:rsidP="00831963">
            <w:pPr>
              <w:spacing w:after="0" w:line="240" w:lineRule="auto"/>
            </w:pPr>
            <w:r>
              <w:t>-Origine, caratteristiche e tipologie dei laghi</w:t>
            </w:r>
          </w:p>
          <w:p w:rsidR="00067CD2" w:rsidRDefault="00067CD2" w:rsidP="00831963">
            <w:pPr>
              <w:spacing w:after="0" w:line="240" w:lineRule="auto"/>
            </w:pPr>
            <w:r>
              <w:t>-Caratteristiche, movimenti ed azione geomorfologica dei ghiacciai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-Inquinamento delle acque continentali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>Uso di materiale didattico di varia tipologia secondo il momento formativo e le necessità della classe.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Allestimento di  prove sperimentali  con verifica, a seguito di pratica in laboratorio o in campo naturalistico.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lastRenderedPageBreak/>
              <w:t>Osservazioni e  deduzioni  da temi proposti con l’ uso della LIM o  ricercati da internet.</w:t>
            </w: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06146E">
              <w:lastRenderedPageBreak/>
              <w:t>Almeno una verifica orale e, a discrezione del docente, anche verifiche</w:t>
            </w:r>
            <w:r>
              <w:t xml:space="preserve"> scritte.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in campo scientifico maturata nella scuola di provenienza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competenza digitale </w:t>
            </w:r>
            <w:r>
              <w:lastRenderedPageBreak/>
              <w:t>a livello elementare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senso di iniziativa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ab/>
              <w:t>culturale del proprio vissuto scolastico</w:t>
            </w:r>
          </w:p>
        </w:tc>
      </w:tr>
    </w:tbl>
    <w:p w:rsidR="00067CD2" w:rsidRDefault="00067CD2" w:rsidP="00067CD2"/>
    <w:p w:rsidR="00067CD2" w:rsidRDefault="00067CD2" w:rsidP="00067CD2"/>
    <w:p w:rsidR="00067CD2" w:rsidRDefault="00067CD2" w:rsidP="00067CD2">
      <w:pPr>
        <w:rPr>
          <w:color w:val="FF0000"/>
        </w:rPr>
      </w:pPr>
    </w:p>
    <w:p w:rsidR="00067CD2" w:rsidRDefault="00067CD2" w:rsidP="00067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Tr="00831963">
        <w:tc>
          <w:tcPr>
            <w:tcW w:w="14427" w:type="dxa"/>
          </w:tcPr>
          <w:p w:rsidR="00067CD2" w:rsidRPr="00642C69" w:rsidRDefault="00067CD2" w:rsidP="00831963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67CD2" w:rsidTr="00831963">
        <w:tc>
          <w:tcPr>
            <w:tcW w:w="14427" w:type="dxa"/>
          </w:tcPr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</w:tc>
      </w:tr>
    </w:tbl>
    <w:p w:rsidR="00067CD2" w:rsidRDefault="00067CD2" w:rsidP="00067CD2"/>
    <w:p w:rsidR="00067CD2" w:rsidRDefault="00067CD2" w:rsidP="00067C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:rsidR="00067CD2" w:rsidRPr="008F372F" w:rsidRDefault="00067CD2" w:rsidP="00067CD2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t>Il presente piano di lavoro fa riferimento al piano di lavoro dipartimentale di appartenenza</w:t>
      </w:r>
      <w:r>
        <w:rPr>
          <w:b/>
          <w:sz w:val="28"/>
          <w:szCs w:val="28"/>
        </w:rPr>
        <w:t xml:space="preserve"> e al piano di lavoro del proprio </w:t>
      </w:r>
      <w:proofErr w:type="spellStart"/>
      <w:r>
        <w:rPr>
          <w:b/>
          <w:sz w:val="28"/>
          <w:szCs w:val="28"/>
        </w:rPr>
        <w:t>C.d.Cl</w:t>
      </w:r>
      <w:proofErr w:type="spellEnd"/>
      <w:r>
        <w:rPr>
          <w:b/>
          <w:sz w:val="28"/>
          <w:szCs w:val="28"/>
        </w:rPr>
        <w:t>.</w:t>
      </w:r>
    </w:p>
    <w:p w:rsidR="0022165C" w:rsidRDefault="006169B3"/>
    <w:sectPr w:rsidR="0022165C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A88"/>
    <w:multiLevelType w:val="hybridMultilevel"/>
    <w:tmpl w:val="40C4161A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3D95"/>
    <w:multiLevelType w:val="hybridMultilevel"/>
    <w:tmpl w:val="736C71B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C130C"/>
    <w:multiLevelType w:val="hybridMultilevel"/>
    <w:tmpl w:val="BF1891EE"/>
    <w:lvl w:ilvl="0" w:tplc="2B2A4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5418B"/>
    <w:multiLevelType w:val="hybridMultilevel"/>
    <w:tmpl w:val="266A20D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70165"/>
    <w:multiLevelType w:val="hybridMultilevel"/>
    <w:tmpl w:val="020E16E8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AE"/>
    <w:rsid w:val="00064CD8"/>
    <w:rsid w:val="00067CD2"/>
    <w:rsid w:val="002A7597"/>
    <w:rsid w:val="00462A79"/>
    <w:rsid w:val="00466BAE"/>
    <w:rsid w:val="005520F6"/>
    <w:rsid w:val="00583AD2"/>
    <w:rsid w:val="00611454"/>
    <w:rsid w:val="006169B3"/>
    <w:rsid w:val="00746762"/>
    <w:rsid w:val="00926409"/>
    <w:rsid w:val="00A14E1D"/>
    <w:rsid w:val="00A426DC"/>
    <w:rsid w:val="00C71FA1"/>
    <w:rsid w:val="00F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2016-10-23T16:45:00Z</dcterms:created>
  <dcterms:modified xsi:type="dcterms:W3CDTF">2016-10-23T20:03:00Z</dcterms:modified>
</cp:coreProperties>
</file>