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B3" w:rsidRDefault="000C66B3" w:rsidP="003610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Consideraciones de la competencia oral y escrita en la</w:t>
      </w:r>
      <w:r w:rsidR="003610B7">
        <w:rPr>
          <w:rFonts w:ascii="Times New Roman" w:hAnsi="Times New Roman" w:cs="Times New Roman"/>
          <w:sz w:val="24"/>
          <w:szCs w:val="24"/>
        </w:rPr>
        <w:t xml:space="preserve"> educación superior</w:t>
      </w:r>
    </w:p>
    <w:p w:rsidR="000C66B3" w:rsidRDefault="000C66B3" w:rsidP="003610B7">
      <w:p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capacidad para comunicarse oralmente y por escrito es una de las competencias críticas en la educación universitaria, entendidas como un conjunto de habilidades y hábitos mentales que forman una parte de la capital intelectual de los estudiantes y permanecen inmunes al cambio acelerado de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la información, cuando los hechos y los datos se hayan olvidado. Tienen por objeto el saber-como más que el saber-que se aprende, y constituyen una condición básica para los demás aprendizajes. Las competencias para la vida porque tienen el objeto la autonomía y la autorregulación del proceso de aprendizaje, las relaciones sociales e interpersonales y la comunicación los lenguajes son un instrumento esencial para el aprendizaje y una condición para el desarrollo de otras competencias en la universidad, por lo tanto, deben tener un lugar en el </w:t>
      </w:r>
      <w:r w:rsidR="003610B7">
        <w:rPr>
          <w:rFonts w:ascii="Times New Roman" w:hAnsi="Times New Roman" w:cs="Times New Roman"/>
          <w:sz w:val="24"/>
          <w:szCs w:val="24"/>
        </w:rPr>
        <w:t>curricular</w:t>
      </w:r>
      <w:r>
        <w:rPr>
          <w:rFonts w:ascii="Times New Roman" w:hAnsi="Times New Roman" w:cs="Times New Roman"/>
          <w:sz w:val="24"/>
          <w:szCs w:val="24"/>
        </w:rPr>
        <w:t xml:space="preserve"> de todos los programas de formación, no solamente en los de la carrea humanísticas y literarias.</w:t>
      </w:r>
      <w:r w:rsidR="003610B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0652119"/>
          <w:citation/>
        </w:sdtPr>
        <w:sdtContent>
          <w:r w:rsidR="003610B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3610B7">
            <w:rPr>
              <w:rFonts w:ascii="Times New Roman" w:hAnsi="Times New Roman" w:cs="Times New Roman"/>
              <w:sz w:val="24"/>
              <w:szCs w:val="24"/>
            </w:rPr>
            <w:instrText xml:space="preserve">CITATION Lar1112 \p 78 \l 2058 </w:instrText>
          </w:r>
          <w:r w:rsidR="003610B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610B7" w:rsidRPr="003610B7">
            <w:rPr>
              <w:rFonts w:ascii="Times New Roman" w:hAnsi="Times New Roman" w:cs="Times New Roman"/>
              <w:noProof/>
              <w:sz w:val="24"/>
              <w:szCs w:val="24"/>
            </w:rPr>
            <w:t>(Lara, 2011, pág. 78)</w:t>
          </w:r>
          <w:r w:rsidR="003610B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013AAA" w:rsidRDefault="003610B7"/>
    <w:sectPr w:rsidR="00013A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B3"/>
    <w:rsid w:val="000C66B3"/>
    <w:rsid w:val="00260B4D"/>
    <w:rsid w:val="003610B7"/>
    <w:rsid w:val="00AB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B5B4E-192C-40C4-95ED-CE4302F2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6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Lar1112</b:Tag>
    <b:SourceType>Book</b:SourceType>
    <b:Guid>{81E5205B-B7EA-4468-A519-E6DD7E0858D8}</b:Guid>
    <b:Author>
      <b:Author>
        <b:NameList>
          <b:Person>
            <b:Last>Lara</b:Last>
          </b:Person>
        </b:NameList>
      </b:Author>
    </b:Author>
    <b:Title>Fundamentos de Investigación</b:Title>
    <b:Year>2011</b:Year>
    <b:City>México</b:City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ABDDC10D-FFEA-4A9F-886F-A07625E2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garcia pirchs</dc:creator>
  <cp:keywords/>
  <dc:description/>
  <cp:lastModifiedBy>Oswaldo Trujillo Ortiz</cp:lastModifiedBy>
  <cp:revision>2</cp:revision>
  <dcterms:created xsi:type="dcterms:W3CDTF">2016-10-27T19:19:00Z</dcterms:created>
  <dcterms:modified xsi:type="dcterms:W3CDTF">2016-10-27T21:22:00Z</dcterms:modified>
</cp:coreProperties>
</file>