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ACB" w:rsidRPr="008D6ACB" w:rsidRDefault="008D6ACB" w:rsidP="008D6ACB">
      <w:pPr>
        <w:pStyle w:val="Citazioneintensa"/>
        <w:ind w:left="0"/>
        <w:rPr>
          <w:sz w:val="36"/>
          <w:szCs w:val="36"/>
        </w:rPr>
      </w:pPr>
      <w:r w:rsidRPr="008D6ACB">
        <w:rPr>
          <w:sz w:val="36"/>
          <w:szCs w:val="36"/>
        </w:rPr>
        <w:t>WOLFGANG AMADEUS MOZART</w:t>
      </w:r>
      <w:r w:rsidR="00786DEF">
        <w:rPr>
          <w:sz w:val="36"/>
          <w:szCs w:val="36"/>
        </w:rPr>
        <w:t xml:space="preserve">                                 </w:t>
      </w:r>
    </w:p>
    <w:p w:rsidR="009873D0" w:rsidRPr="008D6ACB" w:rsidRDefault="00786DEF" w:rsidP="008D6ACB">
      <w:pPr>
        <w:pStyle w:val="NormaleWeb"/>
        <w:shd w:val="clear" w:color="auto" w:fill="FFFFFF" w:themeFill="background1"/>
        <w:spacing w:before="0" w:beforeAutospacing="0" w:after="390" w:afterAutospacing="0"/>
        <w:jc w:val="both"/>
        <w:rPr>
          <w:rFonts w:ascii="Lucida Sans" w:hAnsi="Lucida Sans"/>
          <w:color w:val="000000" w:themeColor="text1"/>
          <w:sz w:val="20"/>
          <w:szCs w:val="20"/>
        </w:rPr>
      </w:pPr>
      <w:r>
        <w:rPr>
          <w:noProof/>
        </w:rPr>
        <w:drawing>
          <wp:anchor distT="0" distB="0" distL="114300" distR="114300" simplePos="0" relativeHeight="251658240" behindDoc="1" locked="0" layoutInCell="1" allowOverlap="1" wp14:anchorId="64DE1540" wp14:editId="36E22259">
            <wp:simplePos x="0" y="0"/>
            <wp:positionH relativeFrom="column">
              <wp:posOffset>108585</wp:posOffset>
            </wp:positionH>
            <wp:positionV relativeFrom="paragraph">
              <wp:posOffset>-1270</wp:posOffset>
            </wp:positionV>
            <wp:extent cx="714375" cy="848995"/>
            <wp:effectExtent l="0" t="0" r="9525" b="8255"/>
            <wp:wrapThrough wrapText="bothSides">
              <wp:wrapPolygon edited="0">
                <wp:start x="0" y="0"/>
                <wp:lineTo x="0" y="21325"/>
                <wp:lineTo x="21312" y="21325"/>
                <wp:lineTo x="21312" y="0"/>
                <wp:lineTo x="0" y="0"/>
              </wp:wrapPolygon>
            </wp:wrapThrough>
            <wp:docPr id="1" name="Immagine 1" descr="Risultati immagini per MOZ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MOZ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848995"/>
                    </a:xfrm>
                    <a:prstGeom prst="rect">
                      <a:avLst/>
                    </a:prstGeom>
                    <a:noFill/>
                    <a:ln>
                      <a:noFill/>
                    </a:ln>
                  </pic:spPr>
                </pic:pic>
              </a:graphicData>
            </a:graphic>
            <wp14:sizeRelH relativeFrom="page">
              <wp14:pctWidth>0</wp14:pctWidth>
            </wp14:sizeRelH>
            <wp14:sizeRelV relativeFrom="page">
              <wp14:pctHeight>0</wp14:pctHeight>
            </wp14:sizeRelV>
          </wp:anchor>
        </w:drawing>
      </w:r>
      <w:r w:rsidR="00E936AC" w:rsidRPr="00E936AC">
        <w:rPr>
          <w:rFonts w:ascii="Lucida Sans" w:hAnsi="Lucida Sans"/>
          <w:color w:val="333333"/>
          <w:sz w:val="20"/>
          <w:szCs w:val="20"/>
        </w:rPr>
        <w:t xml:space="preserve">Compositore nato a Salisburgo nel 1756, figlio del violinista Leopold e di Anna Maria </w:t>
      </w:r>
      <w:proofErr w:type="spellStart"/>
      <w:r w:rsidR="00E936AC" w:rsidRPr="00E936AC">
        <w:rPr>
          <w:rFonts w:ascii="Lucida Sans" w:hAnsi="Lucida Sans"/>
          <w:color w:val="333333"/>
          <w:sz w:val="20"/>
          <w:szCs w:val="20"/>
        </w:rPr>
        <w:t>Pertl</w:t>
      </w:r>
      <w:proofErr w:type="spellEnd"/>
      <w:r w:rsidR="00E936AC" w:rsidRPr="00E936AC">
        <w:rPr>
          <w:rFonts w:ascii="Lucida Sans" w:hAnsi="Lucida Sans"/>
          <w:color w:val="333333"/>
          <w:sz w:val="20"/>
          <w:szCs w:val="20"/>
        </w:rPr>
        <w:t>, mostra fin da piccolo la sua predisposizione alla musica, così come la sorella Anna. Entrambi esprimono una tale e indiscutibile attitudine per le sette note, da indurre il padre a rinunciare a qualsiasi impegno professionale per dedicarsi a insegnare musica esclusivamente ai figli.</w:t>
      </w:r>
      <w:r w:rsidR="00E936AC">
        <w:rPr>
          <w:rFonts w:ascii="Lucida Sans" w:hAnsi="Lucida Sans"/>
          <w:color w:val="333333"/>
          <w:sz w:val="20"/>
          <w:szCs w:val="20"/>
        </w:rPr>
        <w:t xml:space="preserve"> </w:t>
      </w:r>
      <w:r w:rsidR="00E936AC" w:rsidRPr="00E936AC">
        <w:rPr>
          <w:rFonts w:ascii="Lucida Sans" w:hAnsi="Lucida Sans"/>
          <w:color w:val="333333"/>
          <w:sz w:val="20"/>
          <w:szCs w:val="20"/>
        </w:rPr>
        <w:t xml:space="preserve">A quattro anni suona il violino e il cembalo, ed è ormai assodato che la sua prima composizione risale a qualcosa </w:t>
      </w:r>
      <w:r w:rsidR="00E936AC" w:rsidRPr="008D6ACB">
        <w:rPr>
          <w:rFonts w:ascii="Lucida Sans" w:hAnsi="Lucida Sans"/>
          <w:color w:val="000000" w:themeColor="text1"/>
          <w:sz w:val="20"/>
          <w:szCs w:val="20"/>
        </w:rPr>
        <w:t>come solo due anni dopo. Conscio delle doti straordinarie del figlio, il padre porta Wolf</w:t>
      </w:r>
      <w:r w:rsidR="00E936AC" w:rsidRPr="008D6ACB">
        <w:rPr>
          <w:rFonts w:ascii="Lucida Sans" w:hAnsi="Lucida Sans"/>
          <w:color w:val="000000" w:themeColor="text1"/>
          <w:sz w:val="20"/>
          <w:szCs w:val="20"/>
        </w:rPr>
        <w:t>g</w:t>
      </w:r>
      <w:r w:rsidR="00E936AC" w:rsidRPr="008D6ACB">
        <w:rPr>
          <w:rFonts w:ascii="Lucida Sans" w:hAnsi="Lucida Sans"/>
          <w:color w:val="000000" w:themeColor="text1"/>
          <w:sz w:val="20"/>
          <w:szCs w:val="20"/>
        </w:rPr>
        <w:t xml:space="preserve">ang e la sorella, soprannominata </w:t>
      </w:r>
      <w:proofErr w:type="spellStart"/>
      <w:r w:rsidR="00E936AC" w:rsidRPr="008D6ACB">
        <w:rPr>
          <w:rFonts w:ascii="Lucida Sans" w:hAnsi="Lucida Sans"/>
          <w:color w:val="000000" w:themeColor="text1"/>
          <w:sz w:val="20"/>
          <w:szCs w:val="20"/>
        </w:rPr>
        <w:t>Nannerl</w:t>
      </w:r>
      <w:proofErr w:type="spellEnd"/>
      <w:r w:rsidR="00E936AC" w:rsidRPr="008D6ACB">
        <w:rPr>
          <w:rFonts w:ascii="Lucida Sans" w:hAnsi="Lucida Sans"/>
          <w:color w:val="000000" w:themeColor="text1"/>
          <w:sz w:val="20"/>
          <w:szCs w:val="20"/>
        </w:rPr>
        <w:t>, in viaggio per l'Europa dove entrambi hanno modo di esibirsi nei salotti ma, soprattutto, di venire a contatto con i fermenti artistici che circolano in Europa.</w:t>
      </w:r>
      <w:r w:rsidR="00E936AC" w:rsidRPr="008D6ACB">
        <w:rPr>
          <w:rFonts w:ascii="Lucida Sans" w:hAnsi="Lucida Sans"/>
          <w:color w:val="000000" w:themeColor="text1"/>
          <w:sz w:val="20"/>
          <w:szCs w:val="20"/>
        </w:rPr>
        <w:t xml:space="preserve"> </w:t>
      </w:r>
      <w:r w:rsidR="00E936AC" w:rsidRPr="008D6ACB">
        <w:rPr>
          <w:rFonts w:ascii="Lucida Sans" w:hAnsi="Lucida Sans"/>
          <w:color w:val="000000" w:themeColor="text1"/>
          <w:sz w:val="20"/>
          <w:szCs w:val="20"/>
        </w:rPr>
        <w:t>L'infanzia di Mozart è un crescendo di episodi sbalorditivi. Ne è un esempio un aneddoto riportato da</w:t>
      </w:r>
      <w:r w:rsidR="00E936AC" w:rsidRPr="008D6ACB">
        <w:rPr>
          <w:rStyle w:val="apple-converted-space"/>
          <w:rFonts w:ascii="Lucida Sans" w:hAnsi="Lucida Sans"/>
          <w:color w:val="000000" w:themeColor="text1"/>
          <w:sz w:val="20"/>
          <w:szCs w:val="20"/>
        </w:rPr>
        <w:t> </w:t>
      </w:r>
      <w:hyperlink r:id="rId8" w:tooltip="Biografia di Stendhal" w:history="1">
        <w:r w:rsidR="00E936AC" w:rsidRPr="008D6ACB">
          <w:rPr>
            <w:rStyle w:val="Collegamentoipertestuale"/>
            <w:rFonts w:ascii="Lucida Sans" w:hAnsi="Lucida Sans"/>
            <w:color w:val="000000" w:themeColor="text1"/>
            <w:sz w:val="20"/>
            <w:szCs w:val="20"/>
            <w:u w:val="none"/>
          </w:rPr>
          <w:t>Stendhal</w:t>
        </w:r>
      </w:hyperlink>
      <w:r w:rsidR="007F1518">
        <w:rPr>
          <w:rFonts w:ascii="Lucida Sans" w:hAnsi="Lucida Sans"/>
          <w:color w:val="000000" w:themeColor="text1"/>
          <w:sz w:val="20"/>
          <w:szCs w:val="20"/>
        </w:rPr>
        <w:t xml:space="preserve">: </w:t>
      </w:r>
      <w:r w:rsidR="00E936AC" w:rsidRPr="008D6ACB">
        <w:rPr>
          <w:rFonts w:ascii="Lucida Sans" w:hAnsi="Lucida Sans"/>
          <w:color w:val="000000" w:themeColor="text1"/>
          <w:sz w:val="20"/>
          <w:szCs w:val="20"/>
        </w:rPr>
        <w:t>Mozart padre tornava un giorno dalla chiesa in compagnia di un amico; a casa trovò suo figlio impegnato a scrivere musica. "Che stai facendo, figliolo?", gli chiese. "Compongo un concerto per clavicembalo. Ho quasi finito il primo tempo." "Vediamo un po' questo scarabocchio." "No, vi prego; non ho ancora finito". Ciononostante il padre prese il foglio e mostrò al suo amico un groviglio di note che si riuscivano a stento a decifrare a causa delle macchie d'inchiostro. A tutta prima i due amici risero bonariamente di quello sgorbio; ma ben presto, dopo che Mozart padre lo ebbe osservato con un po' di attenzione, i suoi occhi rimasero a lungo fissi sulla carta, e alla fine si riempirono di lacrime d'ammirazione e di gioia. "Guardate, amico mio", disse commosso e sorridente, "come è tutto composto secondo le regole; è un vero peccato che questo brano non si possa eseguire: è troppo difficile e nessuno potrà mai suonarlo".</w:t>
      </w:r>
      <w:r w:rsidR="00E936AC" w:rsidRPr="008D6ACB">
        <w:rPr>
          <w:rFonts w:ascii="Lucida Sans" w:hAnsi="Lucida Sans"/>
          <w:color w:val="000000" w:themeColor="text1"/>
          <w:sz w:val="20"/>
          <w:szCs w:val="20"/>
        </w:rPr>
        <w:t xml:space="preserve"> </w:t>
      </w:r>
      <w:r w:rsidR="00E936AC" w:rsidRPr="008D6ACB">
        <w:rPr>
          <w:rFonts w:ascii="Lucida Sans" w:hAnsi="Lucida Sans"/>
          <w:color w:val="000000" w:themeColor="text1"/>
          <w:sz w:val="20"/>
          <w:szCs w:val="20"/>
        </w:rPr>
        <w:t>Seguono gli studi a Salisburgo nel corso dei quali Amadeus compone la "Finta semplice</w:t>
      </w:r>
      <w:r w:rsidR="007F1518">
        <w:rPr>
          <w:rFonts w:ascii="Lucida Sans" w:hAnsi="Lucida Sans"/>
          <w:color w:val="000000" w:themeColor="text1"/>
          <w:sz w:val="20"/>
          <w:szCs w:val="20"/>
        </w:rPr>
        <w:t>”</w:t>
      </w:r>
      <w:bookmarkStart w:id="0" w:name="_GoBack"/>
      <w:bookmarkEnd w:id="0"/>
      <w:r w:rsidR="008D6ACB">
        <w:rPr>
          <w:rFonts w:ascii="Lucida Sans" w:hAnsi="Lucida Sans"/>
          <w:color w:val="000000" w:themeColor="text1"/>
          <w:sz w:val="20"/>
          <w:szCs w:val="20"/>
        </w:rPr>
        <w:t>.</w:t>
      </w:r>
      <w:r w:rsidR="00E936AC" w:rsidRPr="008D6ACB">
        <w:rPr>
          <w:rFonts w:ascii="Lucida Sans" w:hAnsi="Lucida Sans"/>
          <w:color w:val="000000" w:themeColor="text1"/>
          <w:sz w:val="20"/>
          <w:szCs w:val="20"/>
        </w:rPr>
        <w:t xml:space="preserve"> I viaggi, ad ogni modo, proseguono instancabili, tanto che finiranno per minare la sua già fragile salute. Bisogna infatti considerare</w:t>
      </w:r>
      <w:r w:rsidR="008D6ACB">
        <w:rPr>
          <w:rFonts w:ascii="Lucida Sans" w:hAnsi="Lucida Sans"/>
          <w:color w:val="000000" w:themeColor="text1"/>
          <w:sz w:val="20"/>
          <w:szCs w:val="20"/>
        </w:rPr>
        <w:t xml:space="preserve">, </w:t>
      </w:r>
      <w:r w:rsidR="00E936AC" w:rsidRPr="008D6ACB">
        <w:rPr>
          <w:rFonts w:ascii="Lucida Sans" w:hAnsi="Lucida Sans"/>
          <w:color w:val="000000" w:themeColor="text1"/>
          <w:sz w:val="20"/>
          <w:szCs w:val="20"/>
        </w:rPr>
        <w:t>che i viaggi dell'epoca si svolgevano su umide e pericolanti carrozze, che percorrevano fra l'altro strade dissestate e precarie.</w:t>
      </w:r>
      <w:r w:rsidR="00E936AC" w:rsidRPr="008D6ACB">
        <w:rPr>
          <w:rFonts w:ascii="Lucida Sans" w:hAnsi="Lucida Sans"/>
          <w:color w:val="000000" w:themeColor="text1"/>
          <w:sz w:val="20"/>
          <w:szCs w:val="20"/>
        </w:rPr>
        <w:t xml:space="preserve"> </w:t>
      </w:r>
      <w:r w:rsidR="00E936AC" w:rsidRPr="008D6ACB">
        <w:rPr>
          <w:rFonts w:ascii="Lucida Sans" w:hAnsi="Lucida Sans"/>
          <w:color w:val="000000" w:themeColor="text1"/>
          <w:sz w:val="20"/>
          <w:szCs w:val="20"/>
        </w:rPr>
        <w:t>Celebri, ad ogni modo, molti dei suoi pellegrinaggi e in particolare le sue "visite" italiane. A Bologna conosce padre Martini, mentre a Milano si avvicina alle composizioni di Sammartini. A Roma, invece, ascolta le polifonie ecclesiastiche, mentre a Napoli prende coscienza dello stile diffuso in Europa. In questo periodo fa allestire con successo "Mitridate, re di Ponto" e "L'Ascanio in Alba".</w:t>
      </w:r>
      <w:r w:rsidR="00E936AC" w:rsidRPr="008D6ACB">
        <w:rPr>
          <w:rFonts w:ascii="Lucida Sans" w:hAnsi="Lucida Sans"/>
          <w:color w:val="000000" w:themeColor="text1"/>
          <w:sz w:val="20"/>
          <w:szCs w:val="20"/>
        </w:rPr>
        <w:t xml:space="preserve"> </w:t>
      </w:r>
      <w:r w:rsidR="00E936AC" w:rsidRPr="008D6ACB">
        <w:rPr>
          <w:rFonts w:ascii="Lucida Sans" w:hAnsi="Lucida Sans"/>
          <w:color w:val="000000" w:themeColor="text1"/>
          <w:sz w:val="20"/>
          <w:szCs w:val="20"/>
        </w:rPr>
        <w:t>Finita l'esperienza italiana, torna a Salisburgo e pr</w:t>
      </w:r>
      <w:r w:rsidR="00E936AC" w:rsidRPr="008D6ACB">
        <w:rPr>
          <w:rFonts w:ascii="Lucida Sans" w:hAnsi="Lucida Sans"/>
          <w:color w:val="000000" w:themeColor="text1"/>
          <w:sz w:val="20"/>
          <w:szCs w:val="20"/>
        </w:rPr>
        <w:t>ecisamente al servizio dell’</w:t>
      </w:r>
      <w:r w:rsidR="00E936AC" w:rsidRPr="008D6ACB">
        <w:rPr>
          <w:rFonts w:ascii="Lucida Sans" w:hAnsi="Lucida Sans"/>
          <w:color w:val="000000" w:themeColor="text1"/>
          <w:sz w:val="20"/>
          <w:szCs w:val="20"/>
        </w:rPr>
        <w:t>arcivescovo Colloredo. Quest'ultimo, oltre ad essere sostanzialmente poco interessato alla musica non è affatto ben disposto nei confronti del compositore, tanto che, paradossalmente, lo lascia spesso viaggiare piuttosto che commissionargli nuove opere o approfittare del suo genio per sentirlo suonare.</w:t>
      </w:r>
      <w:r w:rsidR="00E936AC" w:rsidRPr="008D6ACB">
        <w:rPr>
          <w:rFonts w:ascii="Lucida Sans" w:hAnsi="Lucida Sans"/>
          <w:color w:val="000000" w:themeColor="text1"/>
          <w:sz w:val="20"/>
          <w:szCs w:val="20"/>
        </w:rPr>
        <w:t xml:space="preserve"> </w:t>
      </w:r>
      <w:r w:rsidR="00E936AC" w:rsidRPr="008D6ACB">
        <w:rPr>
          <w:rFonts w:ascii="Lucida Sans" w:hAnsi="Lucida Sans"/>
          <w:color w:val="000000" w:themeColor="text1"/>
          <w:sz w:val="20"/>
          <w:szCs w:val="20"/>
        </w:rPr>
        <w:t xml:space="preserve">Viaggia dunque verso Parigi insieme alla madre (che muore proprio in quella città), toccando </w:t>
      </w:r>
      <w:proofErr w:type="spellStart"/>
      <w:r w:rsidR="00E936AC" w:rsidRPr="008D6ACB">
        <w:rPr>
          <w:rFonts w:ascii="Lucida Sans" w:hAnsi="Lucida Sans"/>
          <w:color w:val="000000" w:themeColor="text1"/>
          <w:sz w:val="20"/>
          <w:szCs w:val="20"/>
        </w:rPr>
        <w:t>Manheim</w:t>
      </w:r>
      <w:proofErr w:type="spellEnd"/>
      <w:r w:rsidR="00E936AC" w:rsidRPr="008D6ACB">
        <w:rPr>
          <w:rFonts w:ascii="Lucida Sans" w:hAnsi="Lucida Sans"/>
          <w:color w:val="000000" w:themeColor="text1"/>
          <w:sz w:val="20"/>
          <w:szCs w:val="20"/>
        </w:rPr>
        <w:t>, Strasburgo e Monaco e scontrandosi per la prima volta con insuccessi professionali e sentimentali. Deluso, torna a Salisburgo. Qui compone la bellissima "Messa dell'Incoronazione K 317" e l'opera "Idomeneo, re di Creta", molto ricca dal punto di vista del linguaggio e delle soluzioni sonore.</w:t>
      </w:r>
      <w:r w:rsidR="00E936AC" w:rsidRPr="008D6ACB">
        <w:rPr>
          <w:rFonts w:ascii="Lucida Sans" w:hAnsi="Lucida Sans"/>
          <w:color w:val="000000" w:themeColor="text1"/>
          <w:sz w:val="20"/>
          <w:szCs w:val="20"/>
        </w:rPr>
        <w:t xml:space="preserve"> </w:t>
      </w:r>
      <w:r w:rsidR="00E936AC" w:rsidRPr="008D6ACB">
        <w:rPr>
          <w:rFonts w:ascii="Lucida Sans" w:hAnsi="Lucida Sans"/>
          <w:color w:val="000000" w:themeColor="text1"/>
          <w:sz w:val="20"/>
          <w:szCs w:val="20"/>
        </w:rPr>
        <w:t>Sulla spinta del successo ottenuto, si libera dell'opprimente e antipatico arcivescovo Colloredo. Si può dire che è proprio con Mozart che il ruolo del musicista nella società comincia a svincolarsi dal servilismo che l'aveva sempre caratterizzato, anche se questo processo sarà portato al massimo compimento, da</w:t>
      </w:r>
      <w:r w:rsidR="00E936AC" w:rsidRPr="008D6ACB">
        <w:rPr>
          <w:rStyle w:val="apple-converted-space"/>
          <w:rFonts w:ascii="Lucida Sans" w:hAnsi="Lucida Sans"/>
          <w:color w:val="000000" w:themeColor="text1"/>
          <w:sz w:val="20"/>
          <w:szCs w:val="20"/>
        </w:rPr>
        <w:t> </w:t>
      </w:r>
      <w:hyperlink r:id="rId9" w:tooltip="Biografia di Ludwig Van Beethoven" w:history="1">
        <w:r w:rsidR="00E936AC" w:rsidRPr="008D6ACB">
          <w:rPr>
            <w:rStyle w:val="Collegamentoipertestuale"/>
            <w:rFonts w:ascii="Lucida Sans" w:hAnsi="Lucida Sans"/>
            <w:color w:val="000000" w:themeColor="text1"/>
            <w:sz w:val="20"/>
            <w:szCs w:val="20"/>
            <w:u w:val="none"/>
          </w:rPr>
          <w:t>Beethoven</w:t>
        </w:r>
      </w:hyperlink>
      <w:r w:rsidR="00E936AC" w:rsidRPr="008D6ACB">
        <w:rPr>
          <w:rFonts w:ascii="Lucida Sans" w:hAnsi="Lucida Sans"/>
          <w:color w:val="000000" w:themeColor="text1"/>
          <w:sz w:val="23"/>
          <w:szCs w:val="23"/>
        </w:rPr>
        <w:t>.</w:t>
      </w:r>
      <w:r w:rsidR="00E936AC" w:rsidRPr="008D6ACB">
        <w:rPr>
          <w:rFonts w:ascii="Lucida Sans" w:hAnsi="Lucida Sans"/>
          <w:color w:val="000000" w:themeColor="text1"/>
          <w:sz w:val="23"/>
          <w:szCs w:val="23"/>
        </w:rPr>
        <w:t xml:space="preserve"> </w:t>
      </w:r>
      <w:r w:rsidR="00E936AC" w:rsidRPr="008D6ACB">
        <w:rPr>
          <w:rFonts w:ascii="Lucida Sans" w:hAnsi="Lucida Sans"/>
          <w:color w:val="000000" w:themeColor="text1"/>
          <w:sz w:val="20"/>
          <w:szCs w:val="20"/>
        </w:rPr>
        <w:t>Non bisogna dimenticare, infat</w:t>
      </w:r>
      <w:r w:rsidR="00E936AC" w:rsidRPr="008D6ACB">
        <w:rPr>
          <w:rFonts w:ascii="Lucida Sans" w:hAnsi="Lucida Sans"/>
          <w:color w:val="000000" w:themeColor="text1"/>
          <w:sz w:val="20"/>
          <w:szCs w:val="20"/>
        </w:rPr>
        <w:t>ti, che all'epoca i compositori</w:t>
      </w:r>
      <w:r w:rsidR="00E936AC" w:rsidRPr="008D6ACB">
        <w:rPr>
          <w:rFonts w:ascii="Lucida Sans" w:hAnsi="Lucida Sans"/>
          <w:color w:val="000000" w:themeColor="text1"/>
          <w:sz w:val="20"/>
          <w:szCs w:val="20"/>
        </w:rPr>
        <w:t>, sedevano al tavolo insieme alla servitù ed erano perlopiù considerati dei semplici artigiani piuttosto che artisti nel senso moderno del termine. L'ultimo decennio della sua breve esistenza è per Mozart il più fecondo e foriero di immensi capolavori. I contatti con impresari e i pochi agganci con l'aristocrazia gli permettono un'esistenza precaria ma dignitosa.</w:t>
      </w:r>
      <w:r w:rsidR="008D6ACB" w:rsidRPr="008D6ACB">
        <w:rPr>
          <w:rFonts w:ascii="Lucida Sans" w:hAnsi="Lucida Sans"/>
          <w:color w:val="000000" w:themeColor="text1"/>
          <w:sz w:val="20"/>
          <w:szCs w:val="20"/>
        </w:rPr>
        <w:t xml:space="preserve"> </w:t>
      </w:r>
      <w:r w:rsidR="00E936AC" w:rsidRPr="008D6ACB">
        <w:rPr>
          <w:rFonts w:ascii="Lucida Sans" w:hAnsi="Lucida Sans"/>
          <w:color w:val="000000" w:themeColor="text1"/>
          <w:sz w:val="20"/>
          <w:szCs w:val="20"/>
        </w:rPr>
        <w:t>Fondamentale è il suo incontro con il librettista Da Ponte che darà vita agli immortali capolavori teatrali conosciuti anche con il nome di "trilogia italiana" (chiamata in questo modo per via dei libretti appunto in lingua italiana), ossia "</w:t>
      </w:r>
      <w:hyperlink r:id="rId10" w:tooltip="Le nozze di Figaro" w:history="1">
        <w:r w:rsidR="00E936AC" w:rsidRPr="008D6ACB">
          <w:rPr>
            <w:color w:val="000000" w:themeColor="text1"/>
            <w:sz w:val="20"/>
            <w:szCs w:val="20"/>
          </w:rPr>
          <w:t>Le nozze di Figaro</w:t>
        </w:r>
      </w:hyperlink>
      <w:r w:rsidR="00E936AC" w:rsidRPr="008D6ACB">
        <w:rPr>
          <w:rFonts w:ascii="Lucida Sans" w:hAnsi="Lucida Sans"/>
          <w:color w:val="000000" w:themeColor="text1"/>
          <w:sz w:val="20"/>
          <w:szCs w:val="20"/>
        </w:rPr>
        <w:t>", "</w:t>
      </w:r>
      <w:hyperlink r:id="rId11" w:tooltip="Don Giovanni" w:history="1">
        <w:r w:rsidR="00E936AC" w:rsidRPr="008D6ACB">
          <w:rPr>
            <w:color w:val="000000" w:themeColor="text1"/>
            <w:sz w:val="20"/>
            <w:szCs w:val="20"/>
          </w:rPr>
          <w:t>Don Giovanni</w:t>
        </w:r>
      </w:hyperlink>
      <w:r w:rsidR="00E936AC" w:rsidRPr="008D6ACB">
        <w:rPr>
          <w:rFonts w:ascii="Lucida Sans" w:hAnsi="Lucida Sans"/>
          <w:color w:val="000000" w:themeColor="text1"/>
          <w:sz w:val="20"/>
          <w:szCs w:val="20"/>
        </w:rPr>
        <w:t>" e "</w:t>
      </w:r>
      <w:hyperlink r:id="rId12" w:tooltip="Così fan tutte" w:history="1">
        <w:r w:rsidR="00E936AC" w:rsidRPr="008D6ACB">
          <w:rPr>
            <w:color w:val="000000" w:themeColor="text1"/>
            <w:sz w:val="20"/>
            <w:szCs w:val="20"/>
          </w:rPr>
          <w:t>Così fan tutte</w:t>
        </w:r>
      </w:hyperlink>
      <w:r w:rsidR="00E936AC" w:rsidRPr="008D6ACB">
        <w:rPr>
          <w:rFonts w:ascii="Lucida Sans" w:hAnsi="Lucida Sans"/>
          <w:color w:val="000000" w:themeColor="text1"/>
          <w:sz w:val="20"/>
          <w:szCs w:val="20"/>
        </w:rPr>
        <w:t>".</w:t>
      </w:r>
      <w:r w:rsidR="008D6ACB" w:rsidRPr="008D6ACB">
        <w:rPr>
          <w:rFonts w:ascii="Lucida Sans" w:hAnsi="Lucida Sans"/>
          <w:color w:val="000000" w:themeColor="text1"/>
          <w:sz w:val="20"/>
          <w:szCs w:val="20"/>
        </w:rPr>
        <w:t xml:space="preserve"> </w:t>
      </w:r>
      <w:r w:rsidR="00E936AC" w:rsidRPr="008D6ACB">
        <w:rPr>
          <w:rFonts w:ascii="Lucida Sans" w:hAnsi="Lucida Sans"/>
          <w:color w:val="000000" w:themeColor="text1"/>
          <w:sz w:val="20"/>
          <w:szCs w:val="20"/>
        </w:rPr>
        <w:t>Successivamente, compone altre due opere per teatro, il "Flauto magico", considerato il momento di avvio del teatro tedesco e la "</w:t>
      </w:r>
      <w:hyperlink r:id="rId13" w:tooltip="La clemenza di Tito" w:history="1">
        <w:r w:rsidR="00E936AC" w:rsidRPr="008D6ACB">
          <w:rPr>
            <w:color w:val="000000" w:themeColor="text1"/>
            <w:sz w:val="20"/>
            <w:szCs w:val="20"/>
          </w:rPr>
          <w:t>Clemenza di Tito</w:t>
        </w:r>
      </w:hyperlink>
      <w:r w:rsidR="008D6ACB" w:rsidRPr="008D6ACB">
        <w:rPr>
          <w:rFonts w:ascii="Lucida Sans" w:hAnsi="Lucida Sans"/>
          <w:color w:val="000000" w:themeColor="text1"/>
          <w:sz w:val="20"/>
          <w:szCs w:val="20"/>
        </w:rPr>
        <w:t xml:space="preserve">". </w:t>
      </w:r>
      <w:r w:rsidR="00E936AC" w:rsidRPr="008D6ACB">
        <w:rPr>
          <w:rFonts w:ascii="Lucida Sans" w:hAnsi="Lucida Sans"/>
          <w:color w:val="000000" w:themeColor="text1"/>
          <w:sz w:val="20"/>
          <w:szCs w:val="20"/>
        </w:rPr>
        <w:t xml:space="preserve">Il 5 dicembre del 1791, all'una di notte, si spegne all'età di soli 35 anni una delle più alte espressioni dell'arte (musicale ma non solo) di tutti i tempi. A causa delle avverse disponibilità economiche i suoi resti verranno tumulati in una fossa comune e mai più ritrovati. Le cause della sua morte restano a tutt'oggi un rompicapo difficilmente </w:t>
      </w:r>
      <w:r w:rsidR="008D6ACB">
        <w:rPr>
          <w:rFonts w:ascii="Lucida Sans" w:hAnsi="Lucida Sans"/>
          <w:color w:val="000000" w:themeColor="text1"/>
          <w:sz w:val="20"/>
          <w:szCs w:val="20"/>
        </w:rPr>
        <w:t>ir</w:t>
      </w:r>
      <w:r w:rsidR="00E936AC" w:rsidRPr="008D6ACB">
        <w:rPr>
          <w:rFonts w:ascii="Lucida Sans" w:hAnsi="Lucida Sans"/>
          <w:color w:val="000000" w:themeColor="text1"/>
          <w:sz w:val="20"/>
          <w:szCs w:val="20"/>
        </w:rPr>
        <w:t>risolvibile.</w:t>
      </w:r>
      <w:r w:rsidR="008D6ACB" w:rsidRPr="008D6ACB">
        <w:rPr>
          <w:rFonts w:ascii="Lucida Sans" w:hAnsi="Lucida Sans"/>
          <w:color w:val="000000" w:themeColor="text1"/>
          <w:sz w:val="20"/>
          <w:szCs w:val="20"/>
        </w:rPr>
        <w:t xml:space="preserve"> </w:t>
      </w:r>
      <w:r w:rsidR="00E936AC" w:rsidRPr="008D6ACB">
        <w:rPr>
          <w:rFonts w:ascii="Lucida Sans" w:hAnsi="Lucida Sans"/>
          <w:color w:val="000000" w:themeColor="text1"/>
          <w:sz w:val="20"/>
          <w:szCs w:val="20"/>
        </w:rPr>
        <w:t xml:space="preserve">Di recente Mozart è anche diventato fenomeno di costume, </w:t>
      </w:r>
      <w:r w:rsidR="008D6ACB">
        <w:rPr>
          <w:rFonts w:ascii="Lucida Sans" w:hAnsi="Lucida Sans"/>
          <w:color w:val="000000" w:themeColor="text1"/>
          <w:sz w:val="20"/>
          <w:szCs w:val="20"/>
        </w:rPr>
        <w:t xml:space="preserve">alimentato dal celebrato film </w:t>
      </w:r>
      <w:r w:rsidR="00E936AC" w:rsidRPr="008D6ACB">
        <w:rPr>
          <w:color w:val="000000" w:themeColor="text1"/>
          <w:sz w:val="20"/>
          <w:szCs w:val="20"/>
        </w:rPr>
        <w:t> </w:t>
      </w:r>
      <w:r w:rsidR="00E936AC" w:rsidRPr="008D6ACB">
        <w:rPr>
          <w:rFonts w:ascii="Lucida Sans" w:hAnsi="Lucida Sans"/>
          <w:color w:val="000000" w:themeColor="text1"/>
          <w:sz w:val="20"/>
          <w:szCs w:val="20"/>
        </w:rPr>
        <w:t>"Amadeus" (1985), tanto che una vera e propria "</w:t>
      </w:r>
      <w:proofErr w:type="spellStart"/>
      <w:r w:rsidR="00E936AC" w:rsidRPr="008D6ACB">
        <w:rPr>
          <w:rFonts w:ascii="Lucida Sans" w:hAnsi="Lucida Sans"/>
          <w:color w:val="000000" w:themeColor="text1"/>
          <w:sz w:val="20"/>
          <w:szCs w:val="20"/>
        </w:rPr>
        <w:t>mozartmania</w:t>
      </w:r>
      <w:proofErr w:type="spellEnd"/>
      <w:r w:rsidR="00E936AC" w:rsidRPr="008D6ACB">
        <w:rPr>
          <w:rFonts w:ascii="Lucida Sans" w:hAnsi="Lucida Sans"/>
          <w:color w:val="000000" w:themeColor="text1"/>
          <w:sz w:val="20"/>
          <w:szCs w:val="20"/>
        </w:rPr>
        <w:t xml:space="preserve">" ha contagiato anche chi, prima di allora, non aveva mai ascoltato </w:t>
      </w:r>
      <w:r w:rsidR="008D6ACB">
        <w:rPr>
          <w:rFonts w:ascii="Lucida Sans" w:hAnsi="Lucida Sans"/>
          <w:color w:val="000000" w:themeColor="text1"/>
          <w:sz w:val="20"/>
          <w:szCs w:val="20"/>
        </w:rPr>
        <w:t>la musica del maestro austriaco.</w:t>
      </w:r>
    </w:p>
    <w:sectPr w:rsidR="009873D0" w:rsidRPr="008D6AC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93B" w:rsidRDefault="0024693B" w:rsidP="00786DEF">
      <w:pPr>
        <w:spacing w:after="0" w:line="240" w:lineRule="auto"/>
      </w:pPr>
      <w:r>
        <w:separator/>
      </w:r>
    </w:p>
  </w:endnote>
  <w:endnote w:type="continuationSeparator" w:id="0">
    <w:p w:rsidR="0024693B" w:rsidRDefault="0024693B" w:rsidP="0078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93B" w:rsidRDefault="0024693B" w:rsidP="00786DEF">
      <w:pPr>
        <w:spacing w:after="0" w:line="240" w:lineRule="auto"/>
      </w:pPr>
      <w:r>
        <w:separator/>
      </w:r>
    </w:p>
  </w:footnote>
  <w:footnote w:type="continuationSeparator" w:id="0">
    <w:p w:rsidR="0024693B" w:rsidRDefault="0024693B" w:rsidP="00786D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AC"/>
    <w:rsid w:val="0024693B"/>
    <w:rsid w:val="00786DEF"/>
    <w:rsid w:val="007F1518"/>
    <w:rsid w:val="008D6ACB"/>
    <w:rsid w:val="009873D0"/>
    <w:rsid w:val="00E93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936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936AC"/>
  </w:style>
  <w:style w:type="character" w:styleId="Collegamentoipertestuale">
    <w:name w:val="Hyperlink"/>
    <w:basedOn w:val="Carpredefinitoparagrafo"/>
    <w:uiPriority w:val="99"/>
    <w:semiHidden/>
    <w:unhideWhenUsed/>
    <w:rsid w:val="00E936AC"/>
    <w:rPr>
      <w:color w:val="0000FF"/>
      <w:u w:val="single"/>
    </w:rPr>
  </w:style>
  <w:style w:type="paragraph" w:styleId="Citazioneintensa">
    <w:name w:val="Intense Quote"/>
    <w:basedOn w:val="Normale"/>
    <w:next w:val="Normale"/>
    <w:link w:val="CitazioneintensaCarattere"/>
    <w:uiPriority w:val="30"/>
    <w:qFormat/>
    <w:rsid w:val="008D6ACB"/>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8D6ACB"/>
    <w:rPr>
      <w:b/>
      <w:bCs/>
      <w:i/>
      <w:iCs/>
      <w:color w:val="4F81BD" w:themeColor="accent1"/>
    </w:rPr>
  </w:style>
  <w:style w:type="paragraph" w:styleId="Testofumetto">
    <w:name w:val="Balloon Text"/>
    <w:basedOn w:val="Normale"/>
    <w:link w:val="TestofumettoCarattere"/>
    <w:uiPriority w:val="99"/>
    <w:semiHidden/>
    <w:unhideWhenUsed/>
    <w:rsid w:val="00786D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DEF"/>
    <w:rPr>
      <w:rFonts w:ascii="Tahoma" w:hAnsi="Tahoma" w:cs="Tahoma"/>
      <w:sz w:val="16"/>
      <w:szCs w:val="16"/>
    </w:rPr>
  </w:style>
  <w:style w:type="paragraph" w:styleId="Intestazione">
    <w:name w:val="header"/>
    <w:basedOn w:val="Normale"/>
    <w:link w:val="IntestazioneCarattere"/>
    <w:uiPriority w:val="99"/>
    <w:unhideWhenUsed/>
    <w:rsid w:val="00786D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6DEF"/>
  </w:style>
  <w:style w:type="paragraph" w:styleId="Pidipagina">
    <w:name w:val="footer"/>
    <w:basedOn w:val="Normale"/>
    <w:link w:val="PidipaginaCarattere"/>
    <w:uiPriority w:val="99"/>
    <w:unhideWhenUsed/>
    <w:rsid w:val="00786D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6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936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936AC"/>
  </w:style>
  <w:style w:type="character" w:styleId="Collegamentoipertestuale">
    <w:name w:val="Hyperlink"/>
    <w:basedOn w:val="Carpredefinitoparagrafo"/>
    <w:uiPriority w:val="99"/>
    <w:semiHidden/>
    <w:unhideWhenUsed/>
    <w:rsid w:val="00E936AC"/>
    <w:rPr>
      <w:color w:val="0000FF"/>
      <w:u w:val="single"/>
    </w:rPr>
  </w:style>
  <w:style w:type="paragraph" w:styleId="Citazioneintensa">
    <w:name w:val="Intense Quote"/>
    <w:basedOn w:val="Normale"/>
    <w:next w:val="Normale"/>
    <w:link w:val="CitazioneintensaCarattere"/>
    <w:uiPriority w:val="30"/>
    <w:qFormat/>
    <w:rsid w:val="008D6ACB"/>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8D6ACB"/>
    <w:rPr>
      <w:b/>
      <w:bCs/>
      <w:i/>
      <w:iCs/>
      <w:color w:val="4F81BD" w:themeColor="accent1"/>
    </w:rPr>
  </w:style>
  <w:style w:type="paragraph" w:styleId="Testofumetto">
    <w:name w:val="Balloon Text"/>
    <w:basedOn w:val="Normale"/>
    <w:link w:val="TestofumettoCarattere"/>
    <w:uiPriority w:val="99"/>
    <w:semiHidden/>
    <w:unhideWhenUsed/>
    <w:rsid w:val="00786D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DEF"/>
    <w:rPr>
      <w:rFonts w:ascii="Tahoma" w:hAnsi="Tahoma" w:cs="Tahoma"/>
      <w:sz w:val="16"/>
      <w:szCs w:val="16"/>
    </w:rPr>
  </w:style>
  <w:style w:type="paragraph" w:styleId="Intestazione">
    <w:name w:val="header"/>
    <w:basedOn w:val="Normale"/>
    <w:link w:val="IntestazioneCarattere"/>
    <w:uiPriority w:val="99"/>
    <w:unhideWhenUsed/>
    <w:rsid w:val="00786D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6DEF"/>
  </w:style>
  <w:style w:type="paragraph" w:styleId="Pidipagina">
    <w:name w:val="footer"/>
    <w:basedOn w:val="Normale"/>
    <w:link w:val="PidipaginaCarattere"/>
    <w:uiPriority w:val="99"/>
    <w:unhideWhenUsed/>
    <w:rsid w:val="00786D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6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512470">
      <w:bodyDiv w:val="1"/>
      <w:marLeft w:val="0"/>
      <w:marRight w:val="0"/>
      <w:marTop w:val="0"/>
      <w:marBottom w:val="0"/>
      <w:divBdr>
        <w:top w:val="none" w:sz="0" w:space="0" w:color="auto"/>
        <w:left w:val="none" w:sz="0" w:space="0" w:color="auto"/>
        <w:bottom w:val="none" w:sz="0" w:space="0" w:color="auto"/>
        <w:right w:val="none" w:sz="0" w:space="0" w:color="auto"/>
      </w:divBdr>
    </w:div>
    <w:div w:id="950892373">
      <w:bodyDiv w:val="1"/>
      <w:marLeft w:val="0"/>
      <w:marRight w:val="0"/>
      <w:marTop w:val="0"/>
      <w:marBottom w:val="0"/>
      <w:divBdr>
        <w:top w:val="none" w:sz="0" w:space="0" w:color="auto"/>
        <w:left w:val="none" w:sz="0" w:space="0" w:color="auto"/>
        <w:bottom w:val="none" w:sz="0" w:space="0" w:color="auto"/>
        <w:right w:val="none" w:sz="0" w:space="0" w:color="auto"/>
      </w:divBdr>
    </w:div>
    <w:div w:id="12301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grafieonline.it/biografia.htm?BioID=406&amp;biografia=Stendhal" TargetMode="External"/><Relationship Id="rId13" Type="http://schemas.openxmlformats.org/officeDocument/2006/relationships/hyperlink" Target="http://cultura.biografieonline.it/mozart-la-clemenza-di-tit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cultura.biografieonline.it/cosi-fan-tutte-mozar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ultura.biografieonline.it/trama-del-don-giovanni-di-mozar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ultura.biografieonline.it/le-nozze-di-figaro/" TargetMode="External"/><Relationship Id="rId4" Type="http://schemas.openxmlformats.org/officeDocument/2006/relationships/webSettings" Target="webSettings.xml"/><Relationship Id="rId9" Type="http://schemas.openxmlformats.org/officeDocument/2006/relationships/hyperlink" Target="http://biografieonline.it/biografia.htm?BioID=741&amp;biografia=Ludwig%20Van%20Beethoven"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876</Words>
  <Characters>4996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grandi</dc:creator>
  <cp:lastModifiedBy>antonio grandi</cp:lastModifiedBy>
  <cp:revision>2</cp:revision>
  <dcterms:created xsi:type="dcterms:W3CDTF">2016-11-20T09:33:00Z</dcterms:created>
  <dcterms:modified xsi:type="dcterms:W3CDTF">2016-11-20T09:57:00Z</dcterms:modified>
</cp:coreProperties>
</file>