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023" w:rsidRDefault="003D1F64">
      <w:bookmarkStart w:id="0" w:name="_GoBack"/>
      <w:bookmarkEnd w:id="0"/>
      <w:r>
        <w:rPr>
          <w:noProof/>
          <w:lang w:val="es-ES" w:eastAsia="es-ES"/>
        </w:rPr>
        <mc:AlternateContent>
          <mc:Choice Requires="wps">
            <w:drawing>
              <wp:anchor distT="0" distB="0" distL="114300" distR="114300" simplePos="0" relativeHeight="251664384" behindDoc="0" locked="0" layoutInCell="1" allowOverlap="1" wp14:anchorId="27996BE6" wp14:editId="43CD108D">
                <wp:simplePos x="0" y="0"/>
                <wp:positionH relativeFrom="page">
                  <wp:posOffset>152400</wp:posOffset>
                </wp:positionH>
                <wp:positionV relativeFrom="page">
                  <wp:posOffset>187598</wp:posOffset>
                </wp:positionV>
                <wp:extent cx="5829300" cy="9653270"/>
                <wp:effectExtent l="0" t="0" r="0" b="381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9653270"/>
                        </a:xfrm>
                        <a:prstGeom prst="rect">
                          <a:avLst/>
                        </a:prstGeom>
                        <a:solidFill>
                          <a:schemeClr val="accent1"/>
                        </a:solidFill>
                        <a:ln>
                          <a:noFill/>
                        </a:ln>
                        <a:extLst/>
                      </wps:spPr>
                      <wps:txbx>
                        <w:txbxContent>
                          <w:p w:rsidR="003D1F64" w:rsidRPr="00443FDA" w:rsidRDefault="003D1F64">
                            <w:pPr>
                              <w:spacing w:before="240"/>
                              <w:ind w:left="1008"/>
                              <w:jc w:val="right"/>
                              <w:rPr>
                                <w:color w:val="FFFFFF" w:themeColor="background1"/>
                                <w:lang w:val="es-BO"/>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27996BE6" id="Rectángulo 16" o:spid="_x0000_s1026" style="position:absolute;margin-left:12pt;margin-top:14.75pt;width:459pt;height:760.1pt;z-index:25166438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" fillcolor="#5b9bd5 [3204]" stroked="f">
                <v:textbox inset="21.6pt,1in,21.6pt">
                  <w:txbxContent>
                    <w:p w:rsidR="003D1F64" w:rsidRPr="00443FDA" w:rsidRDefault="003D1F64">
                      <w:pPr>
                        <w:spacing w:before="240"/>
                        <w:ind w:left="1008"/>
                        <w:jc w:val="right"/>
                        <w:rPr>
                          <w:color w:val="FFFFFF" w:themeColor="background1"/>
                          <w:lang w:val="es-BO"/>
                        </w:rPr>
                      </w:pPr>
                    </w:p>
                  </w:txbxContent>
                </v:textbox>
                <w10:wrap anchorx="page" anchory="page"/>
              </v:rect>
            </w:pict>
          </mc:Fallback>
        </mc:AlternateContent>
      </w:r>
      <w:r w:rsidR="00F57023">
        <w:rPr>
          <w:noProof/>
          <w:lang w:val="es-ES" w:eastAsia="es-ES"/>
        </w:rPr>
        <mc:AlternateContent>
          <mc:Choice Requires="wps">
            <w:drawing>
              <wp:anchor distT="0" distB="0" distL="114300" distR="114300" simplePos="0" relativeHeight="251665408" behindDoc="0" locked="0" layoutInCell="1" allowOverlap="1" wp14:anchorId="2FDF0A8A" wp14:editId="1AA42E65">
                <wp:simplePos x="0" y="0"/>
                <wp:positionH relativeFrom="page">
                  <wp:posOffset>6124575</wp:posOffset>
                </wp:positionH>
                <wp:positionV relativeFrom="page">
                  <wp:posOffset>209550</wp:posOffset>
                </wp:positionV>
                <wp:extent cx="1214755" cy="9655810"/>
                <wp:effectExtent l="0" t="0" r="4445" b="381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4755"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1F64" w:rsidRPr="00912A39" w:rsidRDefault="003D1F64">
                            <w:pPr>
                              <w:pStyle w:val="Subttulo"/>
                              <w:rPr>
                                <w:rFonts w:cstheme="minorBidi"/>
                                <w:color w:val="FFFFFF" w:themeColor="background1"/>
                                <w:lang w:val="es-BO"/>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2FDF0A8A" id="Rectángulo 472" o:spid="_x0000_s1027" style="position:absolute;margin-left:482.25pt;margin-top:16.5pt;width:95.65pt;height:760.3pt;z-index:251665408;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" fillcolor="#44546a [3215]" stroked="f" strokeweight="1pt">
                <v:textbox inset="14.4pt,,14.4pt">
                  <w:txbxContent>
                    <w:p w:rsidR="003D1F64" w:rsidRPr="00912A39" w:rsidRDefault="003D1F64">
                      <w:pPr>
                        <w:pStyle w:val="Subttulo"/>
                        <w:rPr>
                          <w:rFonts w:cstheme="minorBidi"/>
                          <w:color w:val="FFFFFF" w:themeColor="background1"/>
                          <w:lang w:val="es-BO"/>
                        </w:rPr>
                      </w:pPr>
                    </w:p>
                  </w:txbxContent>
                </v:textbox>
                <w10:wrap anchorx="page" anchory="page"/>
              </v:rect>
            </w:pict>
          </mc:Fallback>
        </mc:AlternateContent>
      </w:r>
    </w:p>
    <w:sdt>
      <w:sdtPr>
        <w:id w:val="-1922404122"/>
        <w:docPartObj>
          <w:docPartGallery w:val="Cover Pages"/>
          <w:docPartUnique/>
        </w:docPartObj>
      </w:sdtPr>
      <w:sdtEndPr>
        <w:rPr>
          <w:rFonts w:ascii="Times New Roman" w:hAnsi="Times New Roman" w:cs="Times New Roman"/>
          <w:b/>
          <w:sz w:val="24"/>
          <w:szCs w:val="24"/>
          <w:lang w:val="es-BO"/>
        </w:rPr>
      </w:sdtEndPr>
      <w:sdtContent>
        <w:p w:rsidR="00443FDA" w:rsidRDefault="00443FDA"/>
        <w:p w:rsidR="00443FDA" w:rsidRDefault="003D1F64">
          <w:r>
            <w:rPr>
              <w:noProof/>
              <w:lang w:val="es-ES" w:eastAsia="es-ES"/>
            </w:rPr>
            <mc:AlternateContent>
              <mc:Choice Requires="wps">
                <w:drawing>
                  <wp:anchor distT="45720" distB="45720" distL="114300" distR="114300" simplePos="0" relativeHeight="251674624" behindDoc="0" locked="0" layoutInCell="1" allowOverlap="1" wp14:anchorId="79229F95" wp14:editId="405112D6">
                    <wp:simplePos x="0" y="0"/>
                    <wp:positionH relativeFrom="column">
                      <wp:posOffset>-601345</wp:posOffset>
                    </wp:positionH>
                    <wp:positionV relativeFrom="paragraph">
                      <wp:posOffset>29845</wp:posOffset>
                    </wp:positionV>
                    <wp:extent cx="3526790" cy="794385"/>
                    <wp:effectExtent l="0" t="0" r="0" b="571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794385"/>
                            </a:xfrm>
                            <a:prstGeom prst="rect">
                              <a:avLst/>
                            </a:prstGeom>
                            <a:noFill/>
                            <a:ln w="9525">
                              <a:noFill/>
                              <a:miter lim="800000"/>
                              <a:headEnd/>
                              <a:tailEnd/>
                            </a:ln>
                          </wps:spPr>
                          <wps:txbx>
                            <w:txbxContent>
                              <w:p w:rsidR="003D1F64" w:rsidRPr="00BD07B5" w:rsidRDefault="003D1F64" w:rsidP="003D1F64">
                                <w:pPr>
                                  <w:rPr>
                                    <w:rFonts w:ascii="Arial Narrow" w:hAnsi="Arial Narrow"/>
                                    <w:b/>
                                    <w:color w:val="FFFFFF" w:themeColor="background1"/>
                                    <w:sz w:val="60"/>
                                    <w:szCs w:val="60"/>
                                    <w:lang w:val="es-BO"/>
                                  </w:rPr>
                                </w:pPr>
                                <w:r w:rsidRPr="00BD07B5">
                                  <w:rPr>
                                    <w:rFonts w:ascii="Arial Narrow" w:hAnsi="Arial Narrow"/>
                                    <w:b/>
                                    <w:color w:val="FFFFFF" w:themeColor="background1"/>
                                    <w:sz w:val="60"/>
                                    <w:szCs w:val="60"/>
                                    <w:lang w:val="es-BO"/>
                                  </w:rPr>
                                  <w:t>PROMAQ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29F95" id="_x0000_t202" coordsize="21600,21600" o:spt="202" path="m,l,21600r21600,l21600,xe">
                    <v:stroke joinstyle="miter"/>
                    <v:path gradientshapeok="t" o:connecttype="rect"/>
                  </v:shapetype>
                  <v:shape id="Cuadro de texto 2" o:spid="_x0000_s1028" type="#_x0000_t202" style="position:absolute;margin-left:-47.35pt;margin-top:2.35pt;width:277.7pt;height:6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" filled="f" stroked="f">
                    <v:textbox>
                      <w:txbxContent>
                        <w:p w:rsidR="003D1F64" w:rsidRPr="00BD07B5" w:rsidRDefault="003D1F64" w:rsidP="003D1F64">
                          <w:pPr>
                            <w:rPr>
                              <w:rFonts w:ascii="Arial Narrow" w:hAnsi="Arial Narrow"/>
                              <w:b/>
                              <w:color w:val="FFFFFF" w:themeColor="background1"/>
                              <w:sz w:val="60"/>
                              <w:szCs w:val="60"/>
                              <w:lang w:val="es-BO"/>
                            </w:rPr>
                          </w:pPr>
                          <w:r w:rsidRPr="00BD07B5">
                            <w:rPr>
                              <w:rFonts w:ascii="Arial Narrow" w:hAnsi="Arial Narrow"/>
                              <w:b/>
                              <w:color w:val="FFFFFF" w:themeColor="background1"/>
                              <w:sz w:val="60"/>
                              <w:szCs w:val="60"/>
                              <w:lang w:val="es-BO"/>
                            </w:rPr>
                            <w:t>PROMAQ  I+D</w:t>
                          </w:r>
                        </w:p>
                      </w:txbxContent>
                    </v:textbox>
                    <w10:wrap type="square"/>
                  </v:shape>
                </w:pict>
              </mc:Fallback>
            </mc:AlternateContent>
          </w:r>
        </w:p>
        <w:p w:rsidR="00443FDA" w:rsidRDefault="00BD07B5">
          <w:pPr>
            <w:rPr>
              <w:rFonts w:ascii="Times New Roman" w:hAnsi="Times New Roman" w:cs="Times New Roman"/>
              <w:b/>
              <w:sz w:val="24"/>
              <w:szCs w:val="24"/>
              <w:lang w:val="es-BO"/>
            </w:rPr>
          </w:pPr>
          <w:r>
            <w:rPr>
              <w:noProof/>
              <w:lang w:val="es-ES" w:eastAsia="es-ES"/>
            </w:rPr>
            <mc:AlternateContent>
              <mc:Choice Requires="wps">
                <w:drawing>
                  <wp:anchor distT="45720" distB="45720" distL="114300" distR="114300" simplePos="0" relativeHeight="251667456" behindDoc="0" locked="0" layoutInCell="1" allowOverlap="1" wp14:anchorId="76B7EFE4" wp14:editId="097AE276">
                    <wp:simplePos x="0" y="0"/>
                    <wp:positionH relativeFrom="column">
                      <wp:posOffset>-3121025</wp:posOffset>
                    </wp:positionH>
                    <wp:positionV relativeFrom="paragraph">
                      <wp:posOffset>6793865</wp:posOffset>
                    </wp:positionV>
                    <wp:extent cx="4182110" cy="1252855"/>
                    <wp:effectExtent l="0" t="0" r="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1252855"/>
                            </a:xfrm>
                            <a:prstGeom prst="rect">
                              <a:avLst/>
                            </a:prstGeom>
                            <a:noFill/>
                            <a:ln w="9525">
                              <a:noFill/>
                              <a:miter lim="800000"/>
                              <a:headEnd/>
                              <a:tailEnd/>
                            </a:ln>
                          </wps:spPr>
                          <wps:txbx>
                            <w:txbxContent>
                              <w:p w:rsidR="00D608A9" w:rsidRDefault="003D1F64" w:rsidP="00BD07B5">
                                <w:pPr>
                                  <w:jc w:val="center"/>
                                  <w:rPr>
                                    <w:color w:val="FFFFFF" w:themeColor="background1"/>
                                    <w:sz w:val="36"/>
                                    <w:szCs w:val="32"/>
                                    <w:lang w:val="es-BO"/>
                                  </w:rPr>
                                </w:pPr>
                                <w:r w:rsidRPr="00BD07B5">
                                  <w:rPr>
                                    <w:color w:val="FFFFFF" w:themeColor="background1"/>
                                    <w:sz w:val="36"/>
                                    <w:szCs w:val="32"/>
                                    <w:lang w:val="es-BO"/>
                                  </w:rPr>
                                  <w:t>Transformando la economía del país</w:t>
                                </w:r>
                              </w:p>
                              <w:p w:rsidR="003D1F64" w:rsidRPr="00BD07B5" w:rsidRDefault="003D1F64" w:rsidP="00BD07B5">
                                <w:pPr>
                                  <w:jc w:val="center"/>
                                  <w:rPr>
                                    <w:color w:val="FFFFFF" w:themeColor="background1"/>
                                    <w:sz w:val="36"/>
                                    <w:szCs w:val="32"/>
                                    <w:lang w:val="es-BO"/>
                                  </w:rPr>
                                </w:pPr>
                                <w:r w:rsidRPr="00BD07B5">
                                  <w:rPr>
                                    <w:color w:val="FFFFFF" w:themeColor="background1"/>
                                    <w:sz w:val="36"/>
                                    <w:szCs w:val="32"/>
                                    <w:lang w:val="es-BO"/>
                                  </w:rPr>
                                  <w:t xml:space="preserve"> hacia la “Economía del Conocimiento”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7EFE4" id="_x0000_s1029" type="#_x0000_t202" style="position:absolute;margin-left:-245.75pt;margin-top:534.95pt;width:329.3pt;height:98.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" filled="f" stroked="f">
                    <v:textbox>
                      <w:txbxContent>
                        <w:p w:rsidR="00D608A9" w:rsidRDefault="003D1F64" w:rsidP="00BD07B5">
                          <w:pPr>
                            <w:jc w:val="center"/>
                            <w:rPr>
                              <w:color w:val="FFFFFF" w:themeColor="background1"/>
                              <w:sz w:val="36"/>
                              <w:szCs w:val="32"/>
                              <w:lang w:val="es-BO"/>
                            </w:rPr>
                          </w:pPr>
                          <w:r w:rsidRPr="00BD07B5">
                            <w:rPr>
                              <w:color w:val="FFFFFF" w:themeColor="background1"/>
                              <w:sz w:val="36"/>
                              <w:szCs w:val="32"/>
                              <w:lang w:val="es-BO"/>
                            </w:rPr>
                            <w:t>Transformando la economía del país</w:t>
                          </w:r>
                        </w:p>
                        <w:p w:rsidR="003D1F64" w:rsidRPr="00BD07B5" w:rsidRDefault="003D1F64" w:rsidP="00BD07B5">
                          <w:pPr>
                            <w:jc w:val="center"/>
                            <w:rPr>
                              <w:color w:val="FFFFFF" w:themeColor="background1"/>
                              <w:sz w:val="36"/>
                              <w:szCs w:val="32"/>
                              <w:lang w:val="es-BO"/>
                            </w:rPr>
                          </w:pPr>
                          <w:r w:rsidRPr="00BD07B5">
                            <w:rPr>
                              <w:color w:val="FFFFFF" w:themeColor="background1"/>
                              <w:sz w:val="36"/>
                              <w:szCs w:val="32"/>
                              <w:lang w:val="es-BO"/>
                            </w:rPr>
                            <w:t xml:space="preserve"> hacia la “Economía del Conocimiento”</w:t>
                          </w:r>
                        </w:p>
                      </w:txbxContent>
                    </v:textbox>
                    <w10:wrap type="square"/>
                  </v:shape>
                </w:pict>
              </mc:Fallback>
            </mc:AlternateContent>
          </w:r>
          <w:r>
            <w:rPr>
              <w:noProof/>
              <w:lang w:val="es-ES" w:eastAsia="es-ES"/>
            </w:rPr>
            <mc:AlternateContent>
              <mc:Choice Requires="wps">
                <w:drawing>
                  <wp:anchor distT="0" distB="0" distL="114300" distR="114300" simplePos="0" relativeHeight="251668480" behindDoc="0" locked="0" layoutInCell="1" allowOverlap="1" wp14:anchorId="014C7164" wp14:editId="6CA6AE0A">
                    <wp:simplePos x="0" y="0"/>
                    <wp:positionH relativeFrom="column">
                      <wp:posOffset>-3370580</wp:posOffset>
                    </wp:positionH>
                    <wp:positionV relativeFrom="paragraph">
                      <wp:posOffset>2073910</wp:posOffset>
                    </wp:positionV>
                    <wp:extent cx="4848225" cy="265557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4848225" cy="2655570"/>
                            </a:xfrm>
                            <a:prstGeom prst="rect">
                              <a:avLst/>
                            </a:prstGeom>
                            <a:noFill/>
                            <a:ln w="6350">
                              <a:noFill/>
                            </a:ln>
                          </wps:spPr>
                          <wps:txbx>
                            <w:txbxContent>
                              <w:sdt>
                                <w:sdtPr>
                                  <w:rPr>
                                    <w:rFonts w:ascii="Arial Black" w:hAnsi="Arial Black"/>
                                    <w:b/>
                                    <w:caps/>
                                    <w:color w:val="FFFFFF" w:themeColor="background1"/>
                                    <w:szCs w:val="48"/>
                                    <w:lang w:val="es-BO"/>
                                  </w:rPr>
                                  <w:alias w:val="Título"/>
                                  <w:id w:val="1917126941"/>
                                  <w:dataBinding w:prefixMappings="xmlns:ns0='http://schemas.openxmlformats.org/package/2006/metadata/core-properties' xmlns:ns1='http://purl.org/dc/elements/1.1/'" w:xpath="/ns0:coreProperties[1]/ns1:title[1]" w:storeItemID="{6C3C8BC8-F283-45AE-878A-BAB7291924A1}"/>
                                  <w:text/>
                                </w:sdtPr>
                                <w:sdtEndPr/>
                                <w:sdtContent>
                                  <w:p w:rsidR="003D1F64" w:rsidRPr="00BD07B5" w:rsidRDefault="003D1F64" w:rsidP="003D1F64">
                                    <w:pPr>
                                      <w:pStyle w:val="Ttulo"/>
                                      <w:jc w:val="center"/>
                                      <w:rPr>
                                        <w:rFonts w:ascii="Arial Black" w:hAnsi="Arial Black"/>
                                        <w:b/>
                                        <w:caps/>
                                        <w:color w:val="FFFFFF" w:themeColor="background1"/>
                                        <w:szCs w:val="48"/>
                                        <w:lang w:val="es-BO"/>
                                      </w:rPr>
                                    </w:pPr>
                                    <w:r w:rsidRPr="00BD07B5">
                                      <w:rPr>
                                        <w:rFonts w:ascii="Arial Black" w:hAnsi="Arial Black"/>
                                        <w:b/>
                                        <w:caps/>
                                        <w:color w:val="FFFFFF" w:themeColor="background1"/>
                                        <w:szCs w:val="48"/>
                                        <w:lang w:val="es-BO"/>
                                      </w:rPr>
                                      <w:t>FONDO NACIONAL UNIVERSITARIO DE              CIENCIA Y TECNOLOGÍA              (FONuC</w:t>
                                    </w:r>
                                    <w:r w:rsidRPr="00BD07B5">
                                      <w:rPr>
                                        <w:rFonts w:ascii="Arial Black" w:hAnsi="Arial Black"/>
                                        <w:b/>
                                        <w:color w:val="FFFFFF" w:themeColor="background1"/>
                                        <w:szCs w:val="48"/>
                                        <w:lang w:val="es-BO"/>
                                      </w:rPr>
                                      <w:t>y</w:t>
                                    </w:r>
                                    <w:r w:rsidRPr="00BD07B5">
                                      <w:rPr>
                                        <w:rFonts w:ascii="Arial Black" w:hAnsi="Arial Black"/>
                                        <w:b/>
                                        <w:caps/>
                                        <w:color w:val="FFFFFF" w:themeColor="background1"/>
                                        <w:szCs w:val="48"/>
                                        <w:lang w:val="es-BO"/>
                                      </w:rPr>
                                      <w:t>t)</w:t>
                                    </w:r>
                                  </w:p>
                                </w:sdtContent>
                              </w:sdt>
                              <w:p w:rsidR="003D1F64" w:rsidRPr="00F57023" w:rsidRDefault="003D1F64">
                                <w:pPr>
                                  <w:rPr>
                                    <w:lang w:val="es-B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C7164" id="Cuadro de texto 9" o:spid="_x0000_s1030" type="#_x0000_t202" style="position:absolute;margin-left:-265.4pt;margin-top:163.3pt;width:381.75pt;height:20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" filled="f" stroked="f" strokeweight=".5pt">
                    <v:textbox>
                      <w:txbxContent>
                        <w:sdt>
                          <w:sdtPr>
                            <w:rPr>
                              <w:rFonts w:ascii="Arial Black" w:hAnsi="Arial Black"/>
                              <w:b/>
                              <w:caps/>
                              <w:color w:val="FFFFFF" w:themeColor="background1"/>
                              <w:szCs w:val="48"/>
                              <w:lang w:val="es-BO"/>
                            </w:rPr>
                            <w:alias w:val="Título"/>
                            <w:id w:val="1917126941"/>
                            <w:dataBinding w:prefixMappings="xmlns:ns0='http://schemas.openxmlformats.org/package/2006/metadata/core-properties' xmlns:ns1='http://purl.org/dc/elements/1.1/'" w:xpath="/ns0:coreProperties[1]/ns1:title[1]" w:storeItemID="{6C3C8BC8-F283-45AE-878A-BAB7291924A1}"/>
                            <w:text/>
                          </w:sdtPr>
                          <w:sdtEndPr/>
                          <w:sdtContent>
                            <w:p w:rsidR="003D1F64" w:rsidRPr="00BD07B5" w:rsidRDefault="003D1F64" w:rsidP="003D1F64">
                              <w:pPr>
                                <w:pStyle w:val="Ttulo"/>
                                <w:jc w:val="center"/>
                                <w:rPr>
                                  <w:rFonts w:ascii="Arial Black" w:hAnsi="Arial Black"/>
                                  <w:b/>
                                  <w:caps/>
                                  <w:color w:val="FFFFFF" w:themeColor="background1"/>
                                  <w:szCs w:val="48"/>
                                  <w:lang w:val="es-BO"/>
                                </w:rPr>
                              </w:pPr>
                              <w:r w:rsidRPr="00BD07B5">
                                <w:rPr>
                                  <w:rFonts w:ascii="Arial Black" w:hAnsi="Arial Black"/>
                                  <w:b/>
                                  <w:caps/>
                                  <w:color w:val="FFFFFF" w:themeColor="background1"/>
                                  <w:szCs w:val="48"/>
                                  <w:lang w:val="es-BO"/>
                                </w:rPr>
                                <w:t>FONDO NACIONAL UNIVERSITARIO DE              CIENCIA Y TECNOLOGÍA              (FONuC</w:t>
                              </w:r>
                              <w:r w:rsidRPr="00BD07B5">
                                <w:rPr>
                                  <w:rFonts w:ascii="Arial Black" w:hAnsi="Arial Black"/>
                                  <w:b/>
                                  <w:color w:val="FFFFFF" w:themeColor="background1"/>
                                  <w:szCs w:val="48"/>
                                  <w:lang w:val="es-BO"/>
                                </w:rPr>
                                <w:t>y</w:t>
                              </w:r>
                              <w:r w:rsidRPr="00BD07B5">
                                <w:rPr>
                                  <w:rFonts w:ascii="Arial Black" w:hAnsi="Arial Black"/>
                                  <w:b/>
                                  <w:caps/>
                                  <w:color w:val="FFFFFF" w:themeColor="background1"/>
                                  <w:szCs w:val="48"/>
                                  <w:lang w:val="es-BO"/>
                                </w:rPr>
                                <w:t>t)</w:t>
                              </w:r>
                            </w:p>
                          </w:sdtContent>
                        </w:sdt>
                        <w:p w:rsidR="003D1F64" w:rsidRPr="00F57023" w:rsidRDefault="003D1F64">
                          <w:pPr>
                            <w:rPr>
                              <w:lang w:val="es-BO"/>
                            </w:rPr>
                          </w:pPr>
                        </w:p>
                      </w:txbxContent>
                    </v:textbox>
                  </v:shape>
                </w:pict>
              </mc:Fallback>
            </mc:AlternateContent>
          </w:r>
          <w:r>
            <w:rPr>
              <w:noProof/>
              <w:lang w:val="es-ES" w:eastAsia="es-ES"/>
            </w:rPr>
            <mc:AlternateContent>
              <mc:Choice Requires="wps">
                <w:drawing>
                  <wp:anchor distT="45720" distB="45720" distL="114300" distR="114300" simplePos="0" relativeHeight="251676672" behindDoc="0" locked="0" layoutInCell="1" allowOverlap="1" wp14:anchorId="516FB5FC" wp14:editId="45A56F9F">
                    <wp:simplePos x="0" y="0"/>
                    <wp:positionH relativeFrom="column">
                      <wp:posOffset>100965</wp:posOffset>
                    </wp:positionH>
                    <wp:positionV relativeFrom="paragraph">
                      <wp:posOffset>4920615</wp:posOffset>
                    </wp:positionV>
                    <wp:extent cx="2089785" cy="140462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404620"/>
                            </a:xfrm>
                            <a:prstGeom prst="rect">
                              <a:avLst/>
                            </a:prstGeom>
                            <a:noFill/>
                            <a:ln w="9525">
                              <a:noFill/>
                              <a:miter lim="800000"/>
                              <a:headEnd/>
                              <a:tailEnd/>
                            </a:ln>
                          </wps:spPr>
                          <wps:txbx>
                            <w:txbxContent>
                              <w:p w:rsidR="003D1F64" w:rsidRPr="00BD07B5" w:rsidRDefault="003D1F64" w:rsidP="003D1F64">
                                <w:pPr>
                                  <w:rPr>
                                    <w:rFonts w:ascii="Arial Narrow" w:hAnsi="Arial Narrow"/>
                                    <w:color w:val="FFFFFF" w:themeColor="background1"/>
                                    <w:sz w:val="60"/>
                                    <w:szCs w:val="60"/>
                                    <w:lang w:val="es-BO"/>
                                  </w:rPr>
                                </w:pPr>
                                <w:r w:rsidRPr="00BD07B5">
                                  <w:rPr>
                                    <w:rFonts w:ascii="Arial Narrow" w:hAnsi="Arial Narrow"/>
                                    <w:color w:val="FFFFFF" w:themeColor="background1"/>
                                    <w:sz w:val="60"/>
                                    <w:szCs w:val="60"/>
                                    <w:lang w:val="es-BO"/>
                                  </w:rPr>
                                  <w:t>Producto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FB5FC" id="_x0000_s1031" type="#_x0000_t202" style="position:absolute;margin-left:7.95pt;margin-top:387.45pt;width:164.5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" filled="f" stroked="f">
                    <v:textbox style="mso-fit-shape-to-text:t">
                      <w:txbxContent>
                        <w:p w:rsidR="003D1F64" w:rsidRPr="00BD07B5" w:rsidRDefault="003D1F64" w:rsidP="003D1F64">
                          <w:pPr>
                            <w:rPr>
                              <w:rFonts w:ascii="Arial Narrow" w:hAnsi="Arial Narrow"/>
                              <w:color w:val="FFFFFF" w:themeColor="background1"/>
                              <w:sz w:val="60"/>
                              <w:szCs w:val="60"/>
                              <w:lang w:val="es-BO"/>
                            </w:rPr>
                          </w:pPr>
                          <w:r w:rsidRPr="00BD07B5">
                            <w:rPr>
                              <w:rFonts w:ascii="Arial Narrow" w:hAnsi="Arial Narrow"/>
                              <w:color w:val="FFFFFF" w:themeColor="background1"/>
                              <w:sz w:val="60"/>
                              <w:szCs w:val="60"/>
                              <w:lang w:val="es-BO"/>
                            </w:rPr>
                            <w:t>Producto 6</w:t>
                          </w:r>
                        </w:p>
                      </w:txbxContent>
                    </v:textbox>
                    <w10:wrap type="square"/>
                  </v:shape>
                </w:pict>
              </mc:Fallback>
            </mc:AlternateContent>
          </w:r>
          <w:r w:rsidR="00443FDA">
            <w:rPr>
              <w:rFonts w:ascii="Times New Roman" w:hAnsi="Times New Roman" w:cs="Times New Roman"/>
              <w:b/>
              <w:sz w:val="24"/>
              <w:szCs w:val="24"/>
              <w:lang w:val="es-BO"/>
            </w:rPr>
            <w:br w:type="page"/>
          </w:r>
        </w:p>
      </w:sdtContent>
    </w:sdt>
    <w:p w:rsidR="00F428C0" w:rsidRDefault="00F428C0" w:rsidP="00F428C0">
      <w:pPr>
        <w:jc w:val="center"/>
        <w:rPr>
          <w:rFonts w:ascii="Arial" w:hAnsi="Arial" w:cs="Arial"/>
          <w:b/>
          <w:sz w:val="24"/>
          <w:szCs w:val="24"/>
          <w:lang w:val="es-BO"/>
        </w:rPr>
      </w:pPr>
      <w:r>
        <w:rPr>
          <w:rFonts w:ascii="Arial" w:hAnsi="Arial" w:cs="Arial"/>
          <w:b/>
          <w:sz w:val="24"/>
          <w:szCs w:val="24"/>
          <w:lang w:val="es-BO"/>
        </w:rPr>
        <w:lastRenderedPageBreak/>
        <w:t>CONTENIDO</w:t>
      </w:r>
    </w:p>
    <w:sdt>
      <w:sdtPr>
        <w:rPr>
          <w:rFonts w:asciiTheme="minorHAnsi" w:eastAsiaTheme="minorHAnsi" w:hAnsiTheme="minorHAnsi" w:cstheme="minorBidi"/>
          <w:color w:val="auto"/>
          <w:sz w:val="22"/>
          <w:szCs w:val="22"/>
          <w:lang w:val="es-ES"/>
        </w:rPr>
        <w:id w:val="-1478673199"/>
        <w:docPartObj>
          <w:docPartGallery w:val="Table of Contents"/>
          <w:docPartUnique/>
        </w:docPartObj>
      </w:sdtPr>
      <w:sdtEndPr>
        <w:rPr>
          <w:b/>
          <w:bCs/>
        </w:rPr>
      </w:sdtEndPr>
      <w:sdtContent>
        <w:p w:rsidR="005D4EDD" w:rsidRDefault="005D4EDD">
          <w:pPr>
            <w:pStyle w:val="TtuloTDC"/>
          </w:pPr>
        </w:p>
        <w:p w:rsidR="002546E5" w:rsidRDefault="005D4EDD">
          <w:pPr>
            <w:pStyle w:val="TDC1"/>
            <w:rPr>
              <w:rFonts w:eastAsiaTheme="minorEastAsia"/>
              <w:noProof/>
            </w:rPr>
          </w:pPr>
          <w:r>
            <w:fldChar w:fldCharType="begin"/>
          </w:r>
          <w:r>
            <w:instrText xml:space="preserve"> TOC \o "1-3" \h \z \u </w:instrText>
          </w:r>
          <w:r>
            <w:fldChar w:fldCharType="separate"/>
          </w:r>
          <w:hyperlink w:anchor="_Toc471887271" w:history="1">
            <w:r w:rsidR="002546E5" w:rsidRPr="006B33C7">
              <w:rPr>
                <w:rStyle w:val="Hipervnculo"/>
                <w:noProof/>
                <w:lang w:val="es-BO"/>
              </w:rPr>
              <w:t>1. Introducción</w:t>
            </w:r>
            <w:r w:rsidR="002546E5">
              <w:rPr>
                <w:noProof/>
                <w:webHidden/>
              </w:rPr>
              <w:tab/>
            </w:r>
            <w:r w:rsidR="002546E5">
              <w:rPr>
                <w:noProof/>
                <w:webHidden/>
              </w:rPr>
              <w:fldChar w:fldCharType="begin"/>
            </w:r>
            <w:r w:rsidR="002546E5">
              <w:rPr>
                <w:noProof/>
                <w:webHidden/>
              </w:rPr>
              <w:instrText xml:space="preserve"> PAGEREF _Toc471887271 \h </w:instrText>
            </w:r>
            <w:r w:rsidR="002546E5">
              <w:rPr>
                <w:noProof/>
                <w:webHidden/>
              </w:rPr>
            </w:r>
            <w:r w:rsidR="002546E5">
              <w:rPr>
                <w:noProof/>
                <w:webHidden/>
              </w:rPr>
              <w:fldChar w:fldCharType="separate"/>
            </w:r>
            <w:r w:rsidR="00B80977">
              <w:rPr>
                <w:noProof/>
                <w:webHidden/>
              </w:rPr>
              <w:t>1</w:t>
            </w:r>
            <w:r w:rsidR="002546E5">
              <w:rPr>
                <w:noProof/>
                <w:webHidden/>
              </w:rPr>
              <w:fldChar w:fldCharType="end"/>
            </w:r>
          </w:hyperlink>
        </w:p>
        <w:p w:rsidR="002546E5" w:rsidRDefault="0030193A">
          <w:pPr>
            <w:pStyle w:val="TDC1"/>
            <w:rPr>
              <w:rFonts w:eastAsiaTheme="minorEastAsia"/>
              <w:noProof/>
            </w:rPr>
          </w:pPr>
          <w:hyperlink w:anchor="_Toc471887272" w:history="1">
            <w:r w:rsidR="002546E5" w:rsidRPr="006B33C7">
              <w:rPr>
                <w:rStyle w:val="Hipervnculo"/>
                <w:noProof/>
                <w:lang w:val="es-BO"/>
              </w:rPr>
              <w:t>2. Objetivos</w:t>
            </w:r>
            <w:r w:rsidR="002546E5">
              <w:rPr>
                <w:noProof/>
                <w:webHidden/>
              </w:rPr>
              <w:tab/>
            </w:r>
            <w:r w:rsidR="002546E5">
              <w:rPr>
                <w:noProof/>
                <w:webHidden/>
              </w:rPr>
              <w:fldChar w:fldCharType="begin"/>
            </w:r>
            <w:r w:rsidR="002546E5">
              <w:rPr>
                <w:noProof/>
                <w:webHidden/>
              </w:rPr>
              <w:instrText xml:space="preserve"> PAGEREF _Toc471887272 \h </w:instrText>
            </w:r>
            <w:r w:rsidR="002546E5">
              <w:rPr>
                <w:noProof/>
                <w:webHidden/>
              </w:rPr>
            </w:r>
            <w:r w:rsidR="002546E5">
              <w:rPr>
                <w:noProof/>
                <w:webHidden/>
              </w:rPr>
              <w:fldChar w:fldCharType="separate"/>
            </w:r>
            <w:r w:rsidR="00B80977">
              <w:rPr>
                <w:noProof/>
                <w:webHidden/>
              </w:rPr>
              <w:t>1</w:t>
            </w:r>
            <w:r w:rsidR="002546E5">
              <w:rPr>
                <w:noProof/>
                <w:webHidden/>
              </w:rPr>
              <w:fldChar w:fldCharType="end"/>
            </w:r>
          </w:hyperlink>
        </w:p>
        <w:p w:rsidR="002546E5" w:rsidRDefault="0030193A">
          <w:pPr>
            <w:pStyle w:val="TDC2"/>
            <w:tabs>
              <w:tab w:val="right" w:leader="dot" w:pos="9061"/>
            </w:tabs>
            <w:rPr>
              <w:rFonts w:eastAsiaTheme="minorEastAsia"/>
              <w:noProof/>
            </w:rPr>
          </w:pPr>
          <w:hyperlink w:anchor="_Toc471887273" w:history="1">
            <w:r w:rsidR="002546E5" w:rsidRPr="006B33C7">
              <w:rPr>
                <w:rStyle w:val="Hipervnculo"/>
                <w:noProof/>
                <w:lang w:val="es-BO"/>
              </w:rPr>
              <w:t>2.1 Objetivo general</w:t>
            </w:r>
            <w:r w:rsidR="002546E5">
              <w:rPr>
                <w:noProof/>
                <w:webHidden/>
              </w:rPr>
              <w:tab/>
            </w:r>
            <w:r w:rsidR="002546E5">
              <w:rPr>
                <w:noProof/>
                <w:webHidden/>
              </w:rPr>
              <w:fldChar w:fldCharType="begin"/>
            </w:r>
            <w:r w:rsidR="002546E5">
              <w:rPr>
                <w:noProof/>
                <w:webHidden/>
              </w:rPr>
              <w:instrText xml:space="preserve"> PAGEREF _Toc471887273 \h </w:instrText>
            </w:r>
            <w:r w:rsidR="002546E5">
              <w:rPr>
                <w:noProof/>
                <w:webHidden/>
              </w:rPr>
            </w:r>
            <w:r w:rsidR="002546E5">
              <w:rPr>
                <w:noProof/>
                <w:webHidden/>
              </w:rPr>
              <w:fldChar w:fldCharType="separate"/>
            </w:r>
            <w:r w:rsidR="00B80977">
              <w:rPr>
                <w:noProof/>
                <w:webHidden/>
              </w:rPr>
              <w:t>1</w:t>
            </w:r>
            <w:r w:rsidR="002546E5">
              <w:rPr>
                <w:noProof/>
                <w:webHidden/>
              </w:rPr>
              <w:fldChar w:fldCharType="end"/>
            </w:r>
          </w:hyperlink>
        </w:p>
        <w:p w:rsidR="002546E5" w:rsidRDefault="0030193A">
          <w:pPr>
            <w:pStyle w:val="TDC2"/>
            <w:tabs>
              <w:tab w:val="right" w:leader="dot" w:pos="9061"/>
            </w:tabs>
            <w:rPr>
              <w:rFonts w:eastAsiaTheme="minorEastAsia"/>
              <w:noProof/>
            </w:rPr>
          </w:pPr>
          <w:hyperlink w:anchor="_Toc471887274" w:history="1">
            <w:r w:rsidR="002546E5" w:rsidRPr="006B33C7">
              <w:rPr>
                <w:rStyle w:val="Hipervnculo"/>
                <w:noProof/>
                <w:lang w:val="es-BO"/>
              </w:rPr>
              <w:t>2.2 Objetivos específicos</w:t>
            </w:r>
            <w:r w:rsidR="002546E5">
              <w:rPr>
                <w:noProof/>
                <w:webHidden/>
              </w:rPr>
              <w:tab/>
            </w:r>
            <w:r w:rsidR="002546E5">
              <w:rPr>
                <w:noProof/>
                <w:webHidden/>
              </w:rPr>
              <w:fldChar w:fldCharType="begin"/>
            </w:r>
            <w:r w:rsidR="002546E5">
              <w:rPr>
                <w:noProof/>
                <w:webHidden/>
              </w:rPr>
              <w:instrText xml:space="preserve"> PAGEREF _Toc471887274 \h </w:instrText>
            </w:r>
            <w:r w:rsidR="002546E5">
              <w:rPr>
                <w:noProof/>
                <w:webHidden/>
              </w:rPr>
            </w:r>
            <w:r w:rsidR="002546E5">
              <w:rPr>
                <w:noProof/>
                <w:webHidden/>
              </w:rPr>
              <w:fldChar w:fldCharType="separate"/>
            </w:r>
            <w:r w:rsidR="00B80977">
              <w:rPr>
                <w:noProof/>
                <w:webHidden/>
              </w:rPr>
              <w:t>2</w:t>
            </w:r>
            <w:r w:rsidR="002546E5">
              <w:rPr>
                <w:noProof/>
                <w:webHidden/>
              </w:rPr>
              <w:fldChar w:fldCharType="end"/>
            </w:r>
          </w:hyperlink>
        </w:p>
        <w:p w:rsidR="002546E5" w:rsidRDefault="0030193A">
          <w:pPr>
            <w:pStyle w:val="TDC1"/>
            <w:rPr>
              <w:rFonts w:eastAsiaTheme="minorEastAsia"/>
              <w:noProof/>
            </w:rPr>
          </w:pPr>
          <w:hyperlink w:anchor="_Toc471887275" w:history="1">
            <w:r w:rsidR="002546E5" w:rsidRPr="006B33C7">
              <w:rPr>
                <w:rStyle w:val="Hipervnculo"/>
                <w:noProof/>
                <w:lang w:val="es-BO"/>
              </w:rPr>
              <w:t>3. Constitución del Fondo Nacional Universitario de Ciencia y Tecnología (FONUCyT)</w:t>
            </w:r>
            <w:r w:rsidR="002546E5">
              <w:rPr>
                <w:noProof/>
                <w:webHidden/>
              </w:rPr>
              <w:tab/>
            </w:r>
            <w:r w:rsidR="002546E5">
              <w:rPr>
                <w:noProof/>
                <w:webHidden/>
              </w:rPr>
              <w:fldChar w:fldCharType="begin"/>
            </w:r>
            <w:r w:rsidR="002546E5">
              <w:rPr>
                <w:noProof/>
                <w:webHidden/>
              </w:rPr>
              <w:instrText xml:space="preserve"> PAGEREF _Toc471887275 \h </w:instrText>
            </w:r>
            <w:r w:rsidR="002546E5">
              <w:rPr>
                <w:noProof/>
                <w:webHidden/>
              </w:rPr>
            </w:r>
            <w:r w:rsidR="002546E5">
              <w:rPr>
                <w:noProof/>
                <w:webHidden/>
              </w:rPr>
              <w:fldChar w:fldCharType="separate"/>
            </w:r>
            <w:r w:rsidR="00B80977">
              <w:rPr>
                <w:noProof/>
                <w:webHidden/>
              </w:rPr>
              <w:t>2</w:t>
            </w:r>
            <w:r w:rsidR="002546E5">
              <w:rPr>
                <w:noProof/>
                <w:webHidden/>
              </w:rPr>
              <w:fldChar w:fldCharType="end"/>
            </w:r>
          </w:hyperlink>
        </w:p>
        <w:p w:rsidR="002546E5" w:rsidRDefault="0030193A">
          <w:pPr>
            <w:pStyle w:val="TDC1"/>
            <w:rPr>
              <w:rFonts w:eastAsiaTheme="minorEastAsia"/>
              <w:noProof/>
            </w:rPr>
          </w:pPr>
          <w:hyperlink w:anchor="_Toc471887276" w:history="1">
            <w:r w:rsidR="002546E5" w:rsidRPr="006B33C7">
              <w:rPr>
                <w:rStyle w:val="Hipervnculo"/>
                <w:noProof/>
                <w:lang w:val="es-BO"/>
              </w:rPr>
              <w:t>4. Naturaleza del FONUCyT</w:t>
            </w:r>
            <w:r w:rsidR="002546E5">
              <w:rPr>
                <w:noProof/>
                <w:webHidden/>
              </w:rPr>
              <w:tab/>
            </w:r>
            <w:r w:rsidR="002546E5">
              <w:rPr>
                <w:noProof/>
                <w:webHidden/>
              </w:rPr>
              <w:fldChar w:fldCharType="begin"/>
            </w:r>
            <w:r w:rsidR="002546E5">
              <w:rPr>
                <w:noProof/>
                <w:webHidden/>
              </w:rPr>
              <w:instrText xml:space="preserve"> PAGEREF _Toc471887276 \h </w:instrText>
            </w:r>
            <w:r w:rsidR="002546E5">
              <w:rPr>
                <w:noProof/>
                <w:webHidden/>
              </w:rPr>
            </w:r>
            <w:r w:rsidR="002546E5">
              <w:rPr>
                <w:noProof/>
                <w:webHidden/>
              </w:rPr>
              <w:fldChar w:fldCharType="separate"/>
            </w:r>
            <w:r w:rsidR="00B80977">
              <w:rPr>
                <w:noProof/>
                <w:webHidden/>
              </w:rPr>
              <w:t>4</w:t>
            </w:r>
            <w:r w:rsidR="002546E5">
              <w:rPr>
                <w:noProof/>
                <w:webHidden/>
              </w:rPr>
              <w:fldChar w:fldCharType="end"/>
            </w:r>
          </w:hyperlink>
        </w:p>
        <w:p w:rsidR="002546E5" w:rsidRDefault="0030193A">
          <w:pPr>
            <w:pStyle w:val="TDC1"/>
            <w:rPr>
              <w:rFonts w:eastAsiaTheme="minorEastAsia"/>
              <w:noProof/>
            </w:rPr>
          </w:pPr>
          <w:hyperlink w:anchor="_Toc471887277" w:history="1">
            <w:r w:rsidR="002546E5" w:rsidRPr="006B33C7">
              <w:rPr>
                <w:rStyle w:val="Hipervnculo"/>
                <w:noProof/>
                <w:lang w:val="es-BO"/>
              </w:rPr>
              <w:t>5. Programa o Líneas de financiamiento con el FONUCyT</w:t>
            </w:r>
            <w:r w:rsidR="002546E5">
              <w:rPr>
                <w:noProof/>
                <w:webHidden/>
              </w:rPr>
              <w:tab/>
            </w:r>
            <w:r w:rsidR="002546E5">
              <w:rPr>
                <w:noProof/>
                <w:webHidden/>
              </w:rPr>
              <w:fldChar w:fldCharType="begin"/>
            </w:r>
            <w:r w:rsidR="002546E5">
              <w:rPr>
                <w:noProof/>
                <w:webHidden/>
              </w:rPr>
              <w:instrText xml:space="preserve"> PAGEREF _Toc471887277 \h </w:instrText>
            </w:r>
            <w:r w:rsidR="002546E5">
              <w:rPr>
                <w:noProof/>
                <w:webHidden/>
              </w:rPr>
            </w:r>
            <w:r w:rsidR="002546E5">
              <w:rPr>
                <w:noProof/>
                <w:webHidden/>
              </w:rPr>
              <w:fldChar w:fldCharType="separate"/>
            </w:r>
            <w:r w:rsidR="00B80977">
              <w:rPr>
                <w:noProof/>
                <w:webHidden/>
              </w:rPr>
              <w:t>5</w:t>
            </w:r>
            <w:r w:rsidR="002546E5">
              <w:rPr>
                <w:noProof/>
                <w:webHidden/>
              </w:rPr>
              <w:fldChar w:fldCharType="end"/>
            </w:r>
          </w:hyperlink>
        </w:p>
        <w:p w:rsidR="002546E5" w:rsidRDefault="0030193A">
          <w:pPr>
            <w:pStyle w:val="TDC2"/>
            <w:tabs>
              <w:tab w:val="right" w:leader="dot" w:pos="9061"/>
            </w:tabs>
            <w:rPr>
              <w:rFonts w:eastAsiaTheme="minorEastAsia"/>
              <w:noProof/>
            </w:rPr>
          </w:pPr>
          <w:hyperlink w:anchor="_Toc471887278" w:history="1">
            <w:r w:rsidR="002546E5" w:rsidRPr="006B33C7">
              <w:rPr>
                <w:rStyle w:val="Hipervnculo"/>
                <w:noProof/>
                <w:lang w:val="es-BO"/>
              </w:rPr>
              <w:t>5.1 Programa de Apoyo a la Investigación Científica (PIC)</w:t>
            </w:r>
            <w:r w:rsidR="002546E5">
              <w:rPr>
                <w:noProof/>
                <w:webHidden/>
              </w:rPr>
              <w:tab/>
            </w:r>
            <w:r w:rsidR="002546E5">
              <w:rPr>
                <w:noProof/>
                <w:webHidden/>
              </w:rPr>
              <w:fldChar w:fldCharType="begin"/>
            </w:r>
            <w:r w:rsidR="002546E5">
              <w:rPr>
                <w:noProof/>
                <w:webHidden/>
              </w:rPr>
              <w:instrText xml:space="preserve"> PAGEREF _Toc471887278 \h </w:instrText>
            </w:r>
            <w:r w:rsidR="002546E5">
              <w:rPr>
                <w:noProof/>
                <w:webHidden/>
              </w:rPr>
            </w:r>
            <w:r w:rsidR="002546E5">
              <w:rPr>
                <w:noProof/>
                <w:webHidden/>
              </w:rPr>
              <w:fldChar w:fldCharType="separate"/>
            </w:r>
            <w:r w:rsidR="00B80977">
              <w:rPr>
                <w:noProof/>
                <w:webHidden/>
              </w:rPr>
              <w:t>5</w:t>
            </w:r>
            <w:r w:rsidR="002546E5">
              <w:rPr>
                <w:noProof/>
                <w:webHidden/>
              </w:rPr>
              <w:fldChar w:fldCharType="end"/>
            </w:r>
          </w:hyperlink>
        </w:p>
        <w:p w:rsidR="002546E5" w:rsidRDefault="0030193A">
          <w:pPr>
            <w:pStyle w:val="TDC2"/>
            <w:tabs>
              <w:tab w:val="right" w:leader="dot" w:pos="9061"/>
            </w:tabs>
            <w:rPr>
              <w:rFonts w:eastAsiaTheme="minorEastAsia"/>
              <w:noProof/>
            </w:rPr>
          </w:pPr>
          <w:hyperlink w:anchor="_Toc471887279" w:history="1">
            <w:r w:rsidR="002546E5" w:rsidRPr="006B33C7">
              <w:rPr>
                <w:rStyle w:val="Hipervnculo"/>
                <w:noProof/>
                <w:lang w:val="es-BO"/>
              </w:rPr>
              <w:t>5.2 Programa de Apoyo al Desarrollo Tecnológico e Innovación (PIN)</w:t>
            </w:r>
            <w:r w:rsidR="002546E5">
              <w:rPr>
                <w:noProof/>
                <w:webHidden/>
              </w:rPr>
              <w:tab/>
            </w:r>
            <w:r w:rsidR="002546E5">
              <w:rPr>
                <w:noProof/>
                <w:webHidden/>
              </w:rPr>
              <w:fldChar w:fldCharType="begin"/>
            </w:r>
            <w:r w:rsidR="002546E5">
              <w:rPr>
                <w:noProof/>
                <w:webHidden/>
              </w:rPr>
              <w:instrText xml:space="preserve"> PAGEREF _Toc471887279 \h </w:instrText>
            </w:r>
            <w:r w:rsidR="002546E5">
              <w:rPr>
                <w:noProof/>
                <w:webHidden/>
              </w:rPr>
            </w:r>
            <w:r w:rsidR="002546E5">
              <w:rPr>
                <w:noProof/>
                <w:webHidden/>
              </w:rPr>
              <w:fldChar w:fldCharType="separate"/>
            </w:r>
            <w:r w:rsidR="00B80977">
              <w:rPr>
                <w:noProof/>
                <w:webHidden/>
              </w:rPr>
              <w:t>6</w:t>
            </w:r>
            <w:r w:rsidR="002546E5">
              <w:rPr>
                <w:noProof/>
                <w:webHidden/>
              </w:rPr>
              <w:fldChar w:fldCharType="end"/>
            </w:r>
          </w:hyperlink>
        </w:p>
        <w:p w:rsidR="002546E5" w:rsidRDefault="0030193A">
          <w:pPr>
            <w:pStyle w:val="TDC2"/>
            <w:tabs>
              <w:tab w:val="right" w:leader="dot" w:pos="9061"/>
            </w:tabs>
            <w:rPr>
              <w:rFonts w:eastAsiaTheme="minorEastAsia"/>
              <w:noProof/>
            </w:rPr>
          </w:pPr>
          <w:hyperlink w:anchor="_Toc471887280" w:history="1">
            <w:r w:rsidR="002546E5" w:rsidRPr="006B33C7">
              <w:rPr>
                <w:rStyle w:val="Hipervnculo"/>
                <w:noProof/>
                <w:lang w:val="es-BO"/>
              </w:rPr>
              <w:t>5.3 Programa de Apoyo a la Formación de Talento Humano (PTAL)</w:t>
            </w:r>
            <w:r w:rsidR="002546E5">
              <w:rPr>
                <w:noProof/>
                <w:webHidden/>
              </w:rPr>
              <w:tab/>
            </w:r>
            <w:r w:rsidR="002546E5">
              <w:rPr>
                <w:noProof/>
                <w:webHidden/>
              </w:rPr>
              <w:fldChar w:fldCharType="begin"/>
            </w:r>
            <w:r w:rsidR="002546E5">
              <w:rPr>
                <w:noProof/>
                <w:webHidden/>
              </w:rPr>
              <w:instrText xml:space="preserve"> PAGEREF _Toc471887280 \h </w:instrText>
            </w:r>
            <w:r w:rsidR="002546E5">
              <w:rPr>
                <w:noProof/>
                <w:webHidden/>
              </w:rPr>
            </w:r>
            <w:r w:rsidR="002546E5">
              <w:rPr>
                <w:noProof/>
                <w:webHidden/>
              </w:rPr>
              <w:fldChar w:fldCharType="separate"/>
            </w:r>
            <w:r w:rsidR="00B80977">
              <w:rPr>
                <w:noProof/>
                <w:webHidden/>
              </w:rPr>
              <w:t>7</w:t>
            </w:r>
            <w:r w:rsidR="002546E5">
              <w:rPr>
                <w:noProof/>
                <w:webHidden/>
              </w:rPr>
              <w:fldChar w:fldCharType="end"/>
            </w:r>
          </w:hyperlink>
        </w:p>
        <w:p w:rsidR="002546E5" w:rsidRDefault="0030193A">
          <w:pPr>
            <w:pStyle w:val="TDC2"/>
            <w:tabs>
              <w:tab w:val="right" w:leader="dot" w:pos="9061"/>
            </w:tabs>
            <w:rPr>
              <w:rFonts w:eastAsiaTheme="minorEastAsia"/>
              <w:noProof/>
            </w:rPr>
          </w:pPr>
          <w:hyperlink w:anchor="_Toc471887281" w:history="1">
            <w:r w:rsidR="002546E5" w:rsidRPr="006B33C7">
              <w:rPr>
                <w:rStyle w:val="Hipervnculo"/>
                <w:noProof/>
                <w:lang w:val="es-BO"/>
              </w:rPr>
              <w:t>5.4 Programas Estratégicos de Generación de Conocimiento</w:t>
            </w:r>
            <w:r w:rsidR="002546E5">
              <w:rPr>
                <w:noProof/>
                <w:webHidden/>
              </w:rPr>
              <w:tab/>
            </w:r>
            <w:r w:rsidR="002546E5">
              <w:rPr>
                <w:noProof/>
                <w:webHidden/>
              </w:rPr>
              <w:fldChar w:fldCharType="begin"/>
            </w:r>
            <w:r w:rsidR="002546E5">
              <w:rPr>
                <w:noProof/>
                <w:webHidden/>
              </w:rPr>
              <w:instrText xml:space="preserve"> PAGEREF _Toc471887281 \h </w:instrText>
            </w:r>
            <w:r w:rsidR="002546E5">
              <w:rPr>
                <w:noProof/>
                <w:webHidden/>
              </w:rPr>
            </w:r>
            <w:r w:rsidR="002546E5">
              <w:rPr>
                <w:noProof/>
                <w:webHidden/>
              </w:rPr>
              <w:fldChar w:fldCharType="separate"/>
            </w:r>
            <w:r w:rsidR="00B80977">
              <w:rPr>
                <w:noProof/>
                <w:webHidden/>
              </w:rPr>
              <w:t>8</w:t>
            </w:r>
            <w:r w:rsidR="002546E5">
              <w:rPr>
                <w:noProof/>
                <w:webHidden/>
              </w:rPr>
              <w:fldChar w:fldCharType="end"/>
            </w:r>
          </w:hyperlink>
        </w:p>
        <w:p w:rsidR="002546E5" w:rsidRDefault="0030193A">
          <w:pPr>
            <w:pStyle w:val="TDC1"/>
            <w:rPr>
              <w:rFonts w:eastAsiaTheme="minorEastAsia"/>
              <w:noProof/>
            </w:rPr>
          </w:pPr>
          <w:hyperlink w:anchor="_Toc471887282" w:history="1">
            <w:r w:rsidR="002546E5" w:rsidRPr="006B33C7">
              <w:rPr>
                <w:rStyle w:val="Hipervnculo"/>
                <w:noProof/>
                <w:lang w:val="es-BO"/>
              </w:rPr>
              <w:t>6. Líneas de Investigación</w:t>
            </w:r>
            <w:r w:rsidR="002546E5">
              <w:rPr>
                <w:noProof/>
                <w:webHidden/>
              </w:rPr>
              <w:tab/>
            </w:r>
            <w:r w:rsidR="002546E5">
              <w:rPr>
                <w:noProof/>
                <w:webHidden/>
              </w:rPr>
              <w:fldChar w:fldCharType="begin"/>
            </w:r>
            <w:r w:rsidR="002546E5">
              <w:rPr>
                <w:noProof/>
                <w:webHidden/>
              </w:rPr>
              <w:instrText xml:space="preserve"> PAGEREF _Toc471887282 \h </w:instrText>
            </w:r>
            <w:r w:rsidR="002546E5">
              <w:rPr>
                <w:noProof/>
                <w:webHidden/>
              </w:rPr>
            </w:r>
            <w:r w:rsidR="002546E5">
              <w:rPr>
                <w:noProof/>
                <w:webHidden/>
              </w:rPr>
              <w:fldChar w:fldCharType="separate"/>
            </w:r>
            <w:r w:rsidR="00B80977">
              <w:rPr>
                <w:noProof/>
                <w:webHidden/>
              </w:rPr>
              <w:t>8</w:t>
            </w:r>
            <w:r w:rsidR="002546E5">
              <w:rPr>
                <w:noProof/>
                <w:webHidden/>
              </w:rPr>
              <w:fldChar w:fldCharType="end"/>
            </w:r>
          </w:hyperlink>
        </w:p>
        <w:p w:rsidR="002546E5" w:rsidRDefault="0030193A">
          <w:pPr>
            <w:pStyle w:val="TDC1"/>
            <w:rPr>
              <w:rFonts w:eastAsiaTheme="minorEastAsia"/>
              <w:noProof/>
            </w:rPr>
          </w:pPr>
          <w:hyperlink w:anchor="_Toc471887283" w:history="1">
            <w:r w:rsidR="002546E5" w:rsidRPr="006B33C7">
              <w:rPr>
                <w:rStyle w:val="Hipervnculo"/>
                <w:noProof/>
                <w:lang w:val="es-BO"/>
              </w:rPr>
              <w:t>7.</w:t>
            </w:r>
            <w:r w:rsidR="002546E5">
              <w:rPr>
                <w:rFonts w:eastAsiaTheme="minorEastAsia"/>
                <w:noProof/>
              </w:rPr>
              <w:tab/>
            </w:r>
            <w:r w:rsidR="002546E5" w:rsidRPr="006B33C7">
              <w:rPr>
                <w:rStyle w:val="Hipervnculo"/>
                <w:noProof/>
                <w:lang w:val="es-BO"/>
              </w:rPr>
              <w:t>Organización del Agencia Nacional Universitaria de Ciencia, Tecnología e Innovación (ANUCTI)</w:t>
            </w:r>
            <w:r w:rsidR="002546E5">
              <w:rPr>
                <w:noProof/>
                <w:webHidden/>
              </w:rPr>
              <w:tab/>
            </w:r>
            <w:r w:rsidR="002546E5">
              <w:rPr>
                <w:noProof/>
                <w:webHidden/>
              </w:rPr>
              <w:fldChar w:fldCharType="begin"/>
            </w:r>
            <w:r w:rsidR="002546E5">
              <w:rPr>
                <w:noProof/>
                <w:webHidden/>
              </w:rPr>
              <w:instrText xml:space="preserve"> PAGEREF _Toc471887283 \h </w:instrText>
            </w:r>
            <w:r w:rsidR="002546E5">
              <w:rPr>
                <w:noProof/>
                <w:webHidden/>
              </w:rPr>
            </w:r>
            <w:r w:rsidR="002546E5">
              <w:rPr>
                <w:noProof/>
                <w:webHidden/>
              </w:rPr>
              <w:fldChar w:fldCharType="separate"/>
            </w:r>
            <w:r w:rsidR="00B80977">
              <w:rPr>
                <w:noProof/>
                <w:webHidden/>
              </w:rPr>
              <w:t>10</w:t>
            </w:r>
            <w:r w:rsidR="002546E5">
              <w:rPr>
                <w:noProof/>
                <w:webHidden/>
              </w:rPr>
              <w:fldChar w:fldCharType="end"/>
            </w:r>
          </w:hyperlink>
        </w:p>
        <w:p w:rsidR="002546E5" w:rsidRDefault="0030193A">
          <w:pPr>
            <w:pStyle w:val="TDC1"/>
            <w:rPr>
              <w:rFonts w:eastAsiaTheme="minorEastAsia"/>
              <w:noProof/>
            </w:rPr>
          </w:pPr>
          <w:hyperlink w:anchor="_Toc471887284" w:history="1">
            <w:r w:rsidR="002546E5" w:rsidRPr="006B33C7">
              <w:rPr>
                <w:rStyle w:val="Hipervnculo"/>
                <w:noProof/>
                <w:lang w:val="es-BO"/>
              </w:rPr>
              <w:t>8.</w:t>
            </w:r>
            <w:r w:rsidR="002546E5">
              <w:rPr>
                <w:rFonts w:eastAsiaTheme="minorEastAsia"/>
                <w:noProof/>
              </w:rPr>
              <w:tab/>
            </w:r>
            <w:r w:rsidR="002546E5" w:rsidRPr="006B33C7">
              <w:rPr>
                <w:rStyle w:val="Hipervnculo"/>
                <w:noProof/>
                <w:lang w:val="es-BO"/>
              </w:rPr>
              <w:t>Registro del Sistema Universitario de Investigación e Innovación (RESUII)</w:t>
            </w:r>
            <w:r w:rsidR="002546E5">
              <w:rPr>
                <w:noProof/>
                <w:webHidden/>
              </w:rPr>
              <w:tab/>
            </w:r>
            <w:r w:rsidR="002546E5">
              <w:rPr>
                <w:noProof/>
                <w:webHidden/>
              </w:rPr>
              <w:fldChar w:fldCharType="begin"/>
            </w:r>
            <w:r w:rsidR="002546E5">
              <w:rPr>
                <w:noProof/>
                <w:webHidden/>
              </w:rPr>
              <w:instrText xml:space="preserve"> PAGEREF _Toc471887284 \h </w:instrText>
            </w:r>
            <w:r w:rsidR="002546E5">
              <w:rPr>
                <w:noProof/>
                <w:webHidden/>
              </w:rPr>
            </w:r>
            <w:r w:rsidR="002546E5">
              <w:rPr>
                <w:noProof/>
                <w:webHidden/>
              </w:rPr>
              <w:fldChar w:fldCharType="separate"/>
            </w:r>
            <w:r w:rsidR="00B80977">
              <w:rPr>
                <w:noProof/>
                <w:webHidden/>
              </w:rPr>
              <w:t>10</w:t>
            </w:r>
            <w:r w:rsidR="002546E5">
              <w:rPr>
                <w:noProof/>
                <w:webHidden/>
              </w:rPr>
              <w:fldChar w:fldCharType="end"/>
            </w:r>
          </w:hyperlink>
        </w:p>
        <w:p w:rsidR="002546E5" w:rsidRDefault="0030193A">
          <w:pPr>
            <w:pStyle w:val="TDC1"/>
            <w:rPr>
              <w:rFonts w:eastAsiaTheme="minorEastAsia"/>
              <w:noProof/>
            </w:rPr>
          </w:pPr>
          <w:hyperlink w:anchor="_Toc471887285" w:history="1">
            <w:r w:rsidR="002546E5" w:rsidRPr="006B33C7">
              <w:rPr>
                <w:rStyle w:val="Hipervnculo"/>
                <w:noProof/>
                <w:lang w:val="es-BO"/>
              </w:rPr>
              <w:t>9.</w:t>
            </w:r>
            <w:r w:rsidR="002546E5">
              <w:rPr>
                <w:rFonts w:eastAsiaTheme="minorEastAsia"/>
                <w:noProof/>
              </w:rPr>
              <w:tab/>
            </w:r>
            <w:r w:rsidR="002546E5" w:rsidRPr="006B33C7">
              <w:rPr>
                <w:rStyle w:val="Hipervnculo"/>
                <w:noProof/>
                <w:lang w:val="es-BO"/>
              </w:rPr>
              <w:t>Modalidades de Atención y de Proyectos para aplicar al FONUCyT</w:t>
            </w:r>
            <w:r w:rsidR="002546E5">
              <w:rPr>
                <w:noProof/>
                <w:webHidden/>
              </w:rPr>
              <w:tab/>
            </w:r>
            <w:r w:rsidR="002546E5">
              <w:rPr>
                <w:noProof/>
                <w:webHidden/>
              </w:rPr>
              <w:fldChar w:fldCharType="begin"/>
            </w:r>
            <w:r w:rsidR="002546E5">
              <w:rPr>
                <w:noProof/>
                <w:webHidden/>
              </w:rPr>
              <w:instrText xml:space="preserve"> PAGEREF _Toc471887285 \h </w:instrText>
            </w:r>
            <w:r w:rsidR="002546E5">
              <w:rPr>
                <w:noProof/>
                <w:webHidden/>
              </w:rPr>
            </w:r>
            <w:r w:rsidR="002546E5">
              <w:rPr>
                <w:noProof/>
                <w:webHidden/>
              </w:rPr>
              <w:fldChar w:fldCharType="separate"/>
            </w:r>
            <w:r w:rsidR="00B80977">
              <w:rPr>
                <w:noProof/>
                <w:webHidden/>
              </w:rPr>
              <w:t>11</w:t>
            </w:r>
            <w:r w:rsidR="002546E5">
              <w:rPr>
                <w:noProof/>
                <w:webHidden/>
              </w:rPr>
              <w:fldChar w:fldCharType="end"/>
            </w:r>
          </w:hyperlink>
        </w:p>
        <w:p w:rsidR="002546E5" w:rsidRDefault="0030193A">
          <w:pPr>
            <w:pStyle w:val="TDC1"/>
            <w:rPr>
              <w:rFonts w:eastAsiaTheme="minorEastAsia"/>
              <w:noProof/>
            </w:rPr>
          </w:pPr>
          <w:hyperlink w:anchor="_Toc471887286" w:history="1">
            <w:r w:rsidR="002546E5" w:rsidRPr="006B33C7">
              <w:rPr>
                <w:rStyle w:val="Hipervnculo"/>
                <w:noProof/>
                <w:lang w:val="es-BO"/>
              </w:rPr>
              <w:t>10. Sistema de Evaluación de Proyectos con recursos del FONUCyT</w:t>
            </w:r>
            <w:r w:rsidR="002546E5">
              <w:rPr>
                <w:noProof/>
                <w:webHidden/>
              </w:rPr>
              <w:tab/>
            </w:r>
            <w:r w:rsidR="002546E5">
              <w:rPr>
                <w:noProof/>
                <w:webHidden/>
              </w:rPr>
              <w:fldChar w:fldCharType="begin"/>
            </w:r>
            <w:r w:rsidR="002546E5">
              <w:rPr>
                <w:noProof/>
                <w:webHidden/>
              </w:rPr>
              <w:instrText xml:space="preserve"> PAGEREF _Toc471887286 \h </w:instrText>
            </w:r>
            <w:r w:rsidR="002546E5">
              <w:rPr>
                <w:noProof/>
                <w:webHidden/>
              </w:rPr>
            </w:r>
            <w:r w:rsidR="002546E5">
              <w:rPr>
                <w:noProof/>
                <w:webHidden/>
              </w:rPr>
              <w:fldChar w:fldCharType="separate"/>
            </w:r>
            <w:r w:rsidR="00B80977">
              <w:rPr>
                <w:noProof/>
                <w:webHidden/>
              </w:rPr>
              <w:t>11</w:t>
            </w:r>
            <w:r w:rsidR="002546E5">
              <w:rPr>
                <w:noProof/>
                <w:webHidden/>
              </w:rPr>
              <w:fldChar w:fldCharType="end"/>
            </w:r>
          </w:hyperlink>
        </w:p>
        <w:p w:rsidR="002546E5" w:rsidRDefault="0030193A">
          <w:pPr>
            <w:pStyle w:val="TDC2"/>
            <w:tabs>
              <w:tab w:val="right" w:leader="dot" w:pos="9061"/>
            </w:tabs>
            <w:rPr>
              <w:rFonts w:eastAsiaTheme="minorEastAsia"/>
              <w:noProof/>
            </w:rPr>
          </w:pPr>
          <w:hyperlink w:anchor="_Toc471887287" w:history="1">
            <w:r w:rsidR="002546E5" w:rsidRPr="006B33C7">
              <w:rPr>
                <w:rStyle w:val="Hipervnculo"/>
                <w:noProof/>
                <w:lang w:val="es-BO"/>
              </w:rPr>
              <w:t>10.1 Procesabilidad</w:t>
            </w:r>
            <w:r w:rsidR="002546E5">
              <w:rPr>
                <w:noProof/>
                <w:webHidden/>
              </w:rPr>
              <w:tab/>
            </w:r>
            <w:r w:rsidR="002546E5">
              <w:rPr>
                <w:noProof/>
                <w:webHidden/>
              </w:rPr>
              <w:fldChar w:fldCharType="begin"/>
            </w:r>
            <w:r w:rsidR="002546E5">
              <w:rPr>
                <w:noProof/>
                <w:webHidden/>
              </w:rPr>
              <w:instrText xml:space="preserve"> PAGEREF _Toc471887287 \h </w:instrText>
            </w:r>
            <w:r w:rsidR="002546E5">
              <w:rPr>
                <w:noProof/>
                <w:webHidden/>
              </w:rPr>
            </w:r>
            <w:r w:rsidR="002546E5">
              <w:rPr>
                <w:noProof/>
                <w:webHidden/>
              </w:rPr>
              <w:fldChar w:fldCharType="separate"/>
            </w:r>
            <w:r w:rsidR="00B80977">
              <w:rPr>
                <w:noProof/>
                <w:webHidden/>
              </w:rPr>
              <w:t>13</w:t>
            </w:r>
            <w:r w:rsidR="002546E5">
              <w:rPr>
                <w:noProof/>
                <w:webHidden/>
              </w:rPr>
              <w:fldChar w:fldCharType="end"/>
            </w:r>
          </w:hyperlink>
        </w:p>
        <w:p w:rsidR="002546E5" w:rsidRDefault="0030193A">
          <w:pPr>
            <w:pStyle w:val="TDC2"/>
            <w:tabs>
              <w:tab w:val="right" w:leader="dot" w:pos="9061"/>
            </w:tabs>
            <w:rPr>
              <w:rFonts w:eastAsiaTheme="minorEastAsia"/>
              <w:noProof/>
            </w:rPr>
          </w:pPr>
          <w:hyperlink w:anchor="_Toc471887288" w:history="1">
            <w:r w:rsidR="002546E5" w:rsidRPr="006B33C7">
              <w:rPr>
                <w:rStyle w:val="Hipervnculo"/>
                <w:noProof/>
                <w:lang w:val="es-BO"/>
              </w:rPr>
              <w:t>10.2 Admisibilidad</w:t>
            </w:r>
            <w:r w:rsidR="002546E5">
              <w:rPr>
                <w:noProof/>
                <w:webHidden/>
              </w:rPr>
              <w:tab/>
            </w:r>
            <w:r w:rsidR="002546E5">
              <w:rPr>
                <w:noProof/>
                <w:webHidden/>
              </w:rPr>
              <w:fldChar w:fldCharType="begin"/>
            </w:r>
            <w:r w:rsidR="002546E5">
              <w:rPr>
                <w:noProof/>
                <w:webHidden/>
              </w:rPr>
              <w:instrText xml:space="preserve"> PAGEREF _Toc471887288 \h </w:instrText>
            </w:r>
            <w:r w:rsidR="002546E5">
              <w:rPr>
                <w:noProof/>
                <w:webHidden/>
              </w:rPr>
            </w:r>
            <w:r w:rsidR="002546E5">
              <w:rPr>
                <w:noProof/>
                <w:webHidden/>
              </w:rPr>
              <w:fldChar w:fldCharType="separate"/>
            </w:r>
            <w:r w:rsidR="00B80977">
              <w:rPr>
                <w:noProof/>
                <w:webHidden/>
              </w:rPr>
              <w:t>14</w:t>
            </w:r>
            <w:r w:rsidR="002546E5">
              <w:rPr>
                <w:noProof/>
                <w:webHidden/>
              </w:rPr>
              <w:fldChar w:fldCharType="end"/>
            </w:r>
          </w:hyperlink>
        </w:p>
        <w:p w:rsidR="002546E5" w:rsidRDefault="0030193A">
          <w:pPr>
            <w:pStyle w:val="TDC2"/>
            <w:tabs>
              <w:tab w:val="right" w:leader="dot" w:pos="9061"/>
            </w:tabs>
            <w:rPr>
              <w:rFonts w:eastAsiaTheme="minorEastAsia"/>
              <w:noProof/>
            </w:rPr>
          </w:pPr>
          <w:hyperlink w:anchor="_Toc471887289" w:history="1">
            <w:r w:rsidR="002546E5" w:rsidRPr="006B33C7">
              <w:rPr>
                <w:rStyle w:val="Hipervnculo"/>
                <w:noProof/>
                <w:lang w:val="es-BO"/>
              </w:rPr>
              <w:t>10.3 Acreditación curricular</w:t>
            </w:r>
            <w:r w:rsidR="002546E5">
              <w:rPr>
                <w:noProof/>
                <w:webHidden/>
              </w:rPr>
              <w:tab/>
            </w:r>
            <w:r w:rsidR="002546E5">
              <w:rPr>
                <w:noProof/>
                <w:webHidden/>
              </w:rPr>
              <w:fldChar w:fldCharType="begin"/>
            </w:r>
            <w:r w:rsidR="002546E5">
              <w:rPr>
                <w:noProof/>
                <w:webHidden/>
              </w:rPr>
              <w:instrText xml:space="preserve"> PAGEREF _Toc471887289 \h </w:instrText>
            </w:r>
            <w:r w:rsidR="002546E5">
              <w:rPr>
                <w:noProof/>
                <w:webHidden/>
              </w:rPr>
            </w:r>
            <w:r w:rsidR="002546E5">
              <w:rPr>
                <w:noProof/>
                <w:webHidden/>
              </w:rPr>
              <w:fldChar w:fldCharType="separate"/>
            </w:r>
            <w:r w:rsidR="00B80977">
              <w:rPr>
                <w:noProof/>
                <w:webHidden/>
              </w:rPr>
              <w:t>14</w:t>
            </w:r>
            <w:r w:rsidR="002546E5">
              <w:rPr>
                <w:noProof/>
                <w:webHidden/>
              </w:rPr>
              <w:fldChar w:fldCharType="end"/>
            </w:r>
          </w:hyperlink>
        </w:p>
        <w:p w:rsidR="002546E5" w:rsidRDefault="0030193A">
          <w:pPr>
            <w:pStyle w:val="TDC2"/>
            <w:tabs>
              <w:tab w:val="left" w:pos="880"/>
              <w:tab w:val="right" w:leader="dot" w:pos="9061"/>
            </w:tabs>
            <w:rPr>
              <w:rFonts w:eastAsiaTheme="minorEastAsia"/>
              <w:noProof/>
            </w:rPr>
          </w:pPr>
          <w:hyperlink w:anchor="_Toc471887290" w:history="1">
            <w:r w:rsidR="002546E5" w:rsidRPr="006B33C7">
              <w:rPr>
                <w:rStyle w:val="Hipervnculo"/>
                <w:noProof/>
                <w:lang w:val="es-BO"/>
              </w:rPr>
              <w:t>10.4</w:t>
            </w:r>
            <w:r w:rsidR="002546E5">
              <w:rPr>
                <w:rFonts w:eastAsiaTheme="minorEastAsia"/>
                <w:noProof/>
              </w:rPr>
              <w:tab/>
            </w:r>
            <w:r w:rsidR="002546E5" w:rsidRPr="006B33C7">
              <w:rPr>
                <w:rStyle w:val="Hipervnculo"/>
                <w:noProof/>
                <w:lang w:val="es-BO"/>
              </w:rPr>
              <w:t>Calidad Científico-Tecnológica</w:t>
            </w:r>
            <w:r w:rsidR="002546E5">
              <w:rPr>
                <w:noProof/>
                <w:webHidden/>
              </w:rPr>
              <w:tab/>
            </w:r>
            <w:r w:rsidR="002546E5">
              <w:rPr>
                <w:noProof/>
                <w:webHidden/>
              </w:rPr>
              <w:fldChar w:fldCharType="begin"/>
            </w:r>
            <w:r w:rsidR="002546E5">
              <w:rPr>
                <w:noProof/>
                <w:webHidden/>
              </w:rPr>
              <w:instrText xml:space="preserve"> PAGEREF _Toc471887290 \h </w:instrText>
            </w:r>
            <w:r w:rsidR="002546E5">
              <w:rPr>
                <w:noProof/>
                <w:webHidden/>
              </w:rPr>
            </w:r>
            <w:r w:rsidR="002546E5">
              <w:rPr>
                <w:noProof/>
                <w:webHidden/>
              </w:rPr>
              <w:fldChar w:fldCharType="separate"/>
            </w:r>
            <w:r w:rsidR="00B80977">
              <w:rPr>
                <w:noProof/>
                <w:webHidden/>
              </w:rPr>
              <w:t>14</w:t>
            </w:r>
            <w:r w:rsidR="002546E5">
              <w:rPr>
                <w:noProof/>
                <w:webHidden/>
              </w:rPr>
              <w:fldChar w:fldCharType="end"/>
            </w:r>
          </w:hyperlink>
        </w:p>
        <w:p w:rsidR="002546E5" w:rsidRDefault="0030193A">
          <w:pPr>
            <w:pStyle w:val="TDC3"/>
            <w:tabs>
              <w:tab w:val="right" w:leader="dot" w:pos="9061"/>
            </w:tabs>
            <w:rPr>
              <w:rFonts w:eastAsiaTheme="minorEastAsia"/>
              <w:noProof/>
            </w:rPr>
          </w:pPr>
          <w:hyperlink w:anchor="_Toc471887291" w:history="1">
            <w:r w:rsidR="002546E5" w:rsidRPr="006B33C7">
              <w:rPr>
                <w:rStyle w:val="Hipervnculo"/>
                <w:noProof/>
                <w:lang w:val="es-BO"/>
              </w:rPr>
              <w:t>10.4.1 Criterios de Calidad</w:t>
            </w:r>
            <w:r w:rsidR="002546E5">
              <w:rPr>
                <w:noProof/>
                <w:webHidden/>
              </w:rPr>
              <w:tab/>
            </w:r>
            <w:r w:rsidR="002546E5">
              <w:rPr>
                <w:noProof/>
                <w:webHidden/>
              </w:rPr>
              <w:fldChar w:fldCharType="begin"/>
            </w:r>
            <w:r w:rsidR="002546E5">
              <w:rPr>
                <w:noProof/>
                <w:webHidden/>
              </w:rPr>
              <w:instrText xml:space="preserve"> PAGEREF _Toc471887291 \h </w:instrText>
            </w:r>
            <w:r w:rsidR="002546E5">
              <w:rPr>
                <w:noProof/>
                <w:webHidden/>
              </w:rPr>
            </w:r>
            <w:r w:rsidR="002546E5">
              <w:rPr>
                <w:noProof/>
                <w:webHidden/>
              </w:rPr>
              <w:fldChar w:fldCharType="separate"/>
            </w:r>
            <w:r w:rsidR="00B80977">
              <w:rPr>
                <w:noProof/>
                <w:webHidden/>
              </w:rPr>
              <w:t>14</w:t>
            </w:r>
            <w:r w:rsidR="002546E5">
              <w:rPr>
                <w:noProof/>
                <w:webHidden/>
              </w:rPr>
              <w:fldChar w:fldCharType="end"/>
            </w:r>
          </w:hyperlink>
        </w:p>
        <w:p w:rsidR="002546E5" w:rsidRDefault="0030193A">
          <w:pPr>
            <w:pStyle w:val="TDC3"/>
            <w:tabs>
              <w:tab w:val="right" w:leader="dot" w:pos="9061"/>
            </w:tabs>
            <w:rPr>
              <w:rFonts w:eastAsiaTheme="minorEastAsia"/>
              <w:noProof/>
            </w:rPr>
          </w:pPr>
          <w:hyperlink w:anchor="_Toc471887292" w:history="1">
            <w:r w:rsidR="002546E5" w:rsidRPr="006B33C7">
              <w:rPr>
                <w:rStyle w:val="Hipervnculo"/>
                <w:noProof/>
                <w:lang w:val="es-BO"/>
              </w:rPr>
              <w:t>10.4.2 Calificación final de los proyectos</w:t>
            </w:r>
            <w:r w:rsidR="002546E5">
              <w:rPr>
                <w:noProof/>
                <w:webHidden/>
              </w:rPr>
              <w:tab/>
            </w:r>
            <w:r w:rsidR="002546E5">
              <w:rPr>
                <w:noProof/>
                <w:webHidden/>
              </w:rPr>
              <w:fldChar w:fldCharType="begin"/>
            </w:r>
            <w:r w:rsidR="002546E5">
              <w:rPr>
                <w:noProof/>
                <w:webHidden/>
              </w:rPr>
              <w:instrText xml:space="preserve"> PAGEREF _Toc471887292 \h </w:instrText>
            </w:r>
            <w:r w:rsidR="002546E5">
              <w:rPr>
                <w:noProof/>
                <w:webHidden/>
              </w:rPr>
            </w:r>
            <w:r w:rsidR="002546E5">
              <w:rPr>
                <w:noProof/>
                <w:webHidden/>
              </w:rPr>
              <w:fldChar w:fldCharType="separate"/>
            </w:r>
            <w:r w:rsidR="00B80977">
              <w:rPr>
                <w:noProof/>
                <w:webHidden/>
              </w:rPr>
              <w:t>15</w:t>
            </w:r>
            <w:r w:rsidR="002546E5">
              <w:rPr>
                <w:noProof/>
                <w:webHidden/>
              </w:rPr>
              <w:fldChar w:fldCharType="end"/>
            </w:r>
          </w:hyperlink>
        </w:p>
        <w:p w:rsidR="002546E5" w:rsidRDefault="0030193A">
          <w:pPr>
            <w:pStyle w:val="TDC3"/>
            <w:tabs>
              <w:tab w:val="right" w:leader="dot" w:pos="9061"/>
            </w:tabs>
            <w:rPr>
              <w:rFonts w:eastAsiaTheme="minorEastAsia"/>
              <w:noProof/>
            </w:rPr>
          </w:pPr>
          <w:hyperlink w:anchor="_Toc471887293" w:history="1">
            <w:r w:rsidR="002546E5" w:rsidRPr="006B33C7">
              <w:rPr>
                <w:rStyle w:val="Hipervnculo"/>
                <w:noProof/>
                <w:lang w:val="es-BO"/>
              </w:rPr>
              <w:t>10.4.3 Aspectos éticos y salvaguarda ambiental</w:t>
            </w:r>
            <w:r w:rsidR="002546E5">
              <w:rPr>
                <w:noProof/>
                <w:webHidden/>
              </w:rPr>
              <w:tab/>
            </w:r>
            <w:r w:rsidR="002546E5">
              <w:rPr>
                <w:noProof/>
                <w:webHidden/>
              </w:rPr>
              <w:fldChar w:fldCharType="begin"/>
            </w:r>
            <w:r w:rsidR="002546E5">
              <w:rPr>
                <w:noProof/>
                <w:webHidden/>
              </w:rPr>
              <w:instrText xml:space="preserve"> PAGEREF _Toc471887293 \h </w:instrText>
            </w:r>
            <w:r w:rsidR="002546E5">
              <w:rPr>
                <w:noProof/>
                <w:webHidden/>
              </w:rPr>
            </w:r>
            <w:r w:rsidR="002546E5">
              <w:rPr>
                <w:noProof/>
                <w:webHidden/>
              </w:rPr>
              <w:fldChar w:fldCharType="separate"/>
            </w:r>
            <w:r w:rsidR="00B80977">
              <w:rPr>
                <w:noProof/>
                <w:webHidden/>
              </w:rPr>
              <w:t>15</w:t>
            </w:r>
            <w:r w:rsidR="002546E5">
              <w:rPr>
                <w:noProof/>
                <w:webHidden/>
              </w:rPr>
              <w:fldChar w:fldCharType="end"/>
            </w:r>
          </w:hyperlink>
        </w:p>
        <w:p w:rsidR="002546E5" w:rsidRDefault="0030193A">
          <w:pPr>
            <w:pStyle w:val="TDC2"/>
            <w:tabs>
              <w:tab w:val="right" w:leader="dot" w:pos="9061"/>
            </w:tabs>
            <w:rPr>
              <w:rFonts w:eastAsiaTheme="minorEastAsia"/>
              <w:noProof/>
            </w:rPr>
          </w:pPr>
          <w:hyperlink w:anchor="_Toc471887294" w:history="1">
            <w:r w:rsidR="002546E5" w:rsidRPr="006B33C7">
              <w:rPr>
                <w:rStyle w:val="Hipervnculo"/>
                <w:noProof/>
                <w:lang w:val="es-BO"/>
              </w:rPr>
              <w:t>10.5 Revisión de la Comisión de Revisión</w:t>
            </w:r>
            <w:r w:rsidR="002546E5">
              <w:rPr>
                <w:noProof/>
                <w:webHidden/>
              </w:rPr>
              <w:tab/>
            </w:r>
            <w:r w:rsidR="002546E5">
              <w:rPr>
                <w:noProof/>
                <w:webHidden/>
              </w:rPr>
              <w:fldChar w:fldCharType="begin"/>
            </w:r>
            <w:r w:rsidR="002546E5">
              <w:rPr>
                <w:noProof/>
                <w:webHidden/>
              </w:rPr>
              <w:instrText xml:space="preserve"> PAGEREF _Toc471887294 \h </w:instrText>
            </w:r>
            <w:r w:rsidR="002546E5">
              <w:rPr>
                <w:noProof/>
                <w:webHidden/>
              </w:rPr>
            </w:r>
            <w:r w:rsidR="002546E5">
              <w:rPr>
                <w:noProof/>
                <w:webHidden/>
              </w:rPr>
              <w:fldChar w:fldCharType="separate"/>
            </w:r>
            <w:r w:rsidR="00B80977">
              <w:rPr>
                <w:noProof/>
                <w:webHidden/>
              </w:rPr>
              <w:t>15</w:t>
            </w:r>
            <w:r w:rsidR="002546E5">
              <w:rPr>
                <w:noProof/>
                <w:webHidden/>
              </w:rPr>
              <w:fldChar w:fldCharType="end"/>
            </w:r>
          </w:hyperlink>
        </w:p>
        <w:p w:rsidR="002546E5" w:rsidRDefault="0030193A">
          <w:pPr>
            <w:pStyle w:val="TDC2"/>
            <w:tabs>
              <w:tab w:val="right" w:leader="dot" w:pos="9061"/>
            </w:tabs>
            <w:rPr>
              <w:rFonts w:eastAsiaTheme="minorEastAsia"/>
              <w:noProof/>
            </w:rPr>
          </w:pPr>
          <w:hyperlink w:anchor="_Toc471887295" w:history="1">
            <w:r w:rsidR="002546E5" w:rsidRPr="006B33C7">
              <w:rPr>
                <w:rStyle w:val="Hipervnculo"/>
                <w:noProof/>
                <w:lang w:val="es-BO"/>
              </w:rPr>
              <w:t>10.6 Adjudicación</w:t>
            </w:r>
            <w:r w:rsidR="002546E5">
              <w:rPr>
                <w:noProof/>
                <w:webHidden/>
              </w:rPr>
              <w:tab/>
            </w:r>
            <w:r w:rsidR="002546E5">
              <w:rPr>
                <w:noProof/>
                <w:webHidden/>
              </w:rPr>
              <w:fldChar w:fldCharType="begin"/>
            </w:r>
            <w:r w:rsidR="002546E5">
              <w:rPr>
                <w:noProof/>
                <w:webHidden/>
              </w:rPr>
              <w:instrText xml:space="preserve"> PAGEREF _Toc471887295 \h </w:instrText>
            </w:r>
            <w:r w:rsidR="002546E5">
              <w:rPr>
                <w:noProof/>
                <w:webHidden/>
              </w:rPr>
            </w:r>
            <w:r w:rsidR="002546E5">
              <w:rPr>
                <w:noProof/>
                <w:webHidden/>
              </w:rPr>
              <w:fldChar w:fldCharType="separate"/>
            </w:r>
            <w:r w:rsidR="00B80977">
              <w:rPr>
                <w:noProof/>
                <w:webHidden/>
              </w:rPr>
              <w:t>16</w:t>
            </w:r>
            <w:r w:rsidR="002546E5">
              <w:rPr>
                <w:noProof/>
                <w:webHidden/>
              </w:rPr>
              <w:fldChar w:fldCharType="end"/>
            </w:r>
          </w:hyperlink>
        </w:p>
        <w:p w:rsidR="002546E5" w:rsidRDefault="0030193A">
          <w:pPr>
            <w:pStyle w:val="TDC1"/>
            <w:rPr>
              <w:rFonts w:eastAsiaTheme="minorEastAsia"/>
              <w:noProof/>
            </w:rPr>
          </w:pPr>
          <w:hyperlink w:anchor="_Toc471887296" w:history="1">
            <w:r w:rsidR="002546E5" w:rsidRPr="006B33C7">
              <w:rPr>
                <w:rStyle w:val="Hipervnculo"/>
                <w:noProof/>
                <w:lang w:val="es-BO"/>
              </w:rPr>
              <w:t>11. Aspectos Financieros de la ANUCTI y del FONUCyT</w:t>
            </w:r>
            <w:r w:rsidR="002546E5">
              <w:rPr>
                <w:noProof/>
                <w:webHidden/>
              </w:rPr>
              <w:tab/>
            </w:r>
            <w:r w:rsidR="002546E5">
              <w:rPr>
                <w:noProof/>
                <w:webHidden/>
              </w:rPr>
              <w:fldChar w:fldCharType="begin"/>
            </w:r>
            <w:r w:rsidR="002546E5">
              <w:rPr>
                <w:noProof/>
                <w:webHidden/>
              </w:rPr>
              <w:instrText xml:space="preserve"> PAGEREF _Toc471887296 \h </w:instrText>
            </w:r>
            <w:r w:rsidR="002546E5">
              <w:rPr>
                <w:noProof/>
                <w:webHidden/>
              </w:rPr>
            </w:r>
            <w:r w:rsidR="002546E5">
              <w:rPr>
                <w:noProof/>
                <w:webHidden/>
              </w:rPr>
              <w:fldChar w:fldCharType="separate"/>
            </w:r>
            <w:r w:rsidR="00B80977">
              <w:rPr>
                <w:noProof/>
                <w:webHidden/>
              </w:rPr>
              <w:t>17</w:t>
            </w:r>
            <w:r w:rsidR="002546E5">
              <w:rPr>
                <w:noProof/>
                <w:webHidden/>
              </w:rPr>
              <w:fldChar w:fldCharType="end"/>
            </w:r>
          </w:hyperlink>
        </w:p>
        <w:p w:rsidR="002546E5" w:rsidRDefault="0030193A">
          <w:pPr>
            <w:pStyle w:val="TDC2"/>
            <w:tabs>
              <w:tab w:val="right" w:leader="dot" w:pos="9061"/>
            </w:tabs>
            <w:rPr>
              <w:rFonts w:eastAsiaTheme="minorEastAsia"/>
              <w:noProof/>
            </w:rPr>
          </w:pPr>
          <w:hyperlink w:anchor="_Toc471887297" w:history="1">
            <w:r w:rsidR="002546E5" w:rsidRPr="006B33C7">
              <w:rPr>
                <w:rStyle w:val="Hipervnculo"/>
                <w:noProof/>
                <w:lang w:val="es-BO"/>
              </w:rPr>
              <w:t>11.1 Fuentes de Ingresos de la ANUCTI</w:t>
            </w:r>
            <w:r w:rsidR="002546E5">
              <w:rPr>
                <w:noProof/>
                <w:webHidden/>
              </w:rPr>
              <w:tab/>
            </w:r>
            <w:r w:rsidR="002546E5">
              <w:rPr>
                <w:noProof/>
                <w:webHidden/>
              </w:rPr>
              <w:fldChar w:fldCharType="begin"/>
            </w:r>
            <w:r w:rsidR="002546E5">
              <w:rPr>
                <w:noProof/>
                <w:webHidden/>
              </w:rPr>
              <w:instrText xml:space="preserve"> PAGEREF _Toc471887297 \h </w:instrText>
            </w:r>
            <w:r w:rsidR="002546E5">
              <w:rPr>
                <w:noProof/>
                <w:webHidden/>
              </w:rPr>
            </w:r>
            <w:r w:rsidR="002546E5">
              <w:rPr>
                <w:noProof/>
                <w:webHidden/>
              </w:rPr>
              <w:fldChar w:fldCharType="separate"/>
            </w:r>
            <w:r w:rsidR="00B80977">
              <w:rPr>
                <w:noProof/>
                <w:webHidden/>
              </w:rPr>
              <w:t>17</w:t>
            </w:r>
            <w:r w:rsidR="002546E5">
              <w:rPr>
                <w:noProof/>
                <w:webHidden/>
              </w:rPr>
              <w:fldChar w:fldCharType="end"/>
            </w:r>
          </w:hyperlink>
        </w:p>
        <w:p w:rsidR="002546E5" w:rsidRDefault="0030193A">
          <w:pPr>
            <w:pStyle w:val="TDC2"/>
            <w:tabs>
              <w:tab w:val="right" w:leader="dot" w:pos="9061"/>
            </w:tabs>
            <w:rPr>
              <w:rFonts w:eastAsiaTheme="minorEastAsia"/>
              <w:noProof/>
            </w:rPr>
          </w:pPr>
          <w:hyperlink w:anchor="_Toc471887298" w:history="1">
            <w:r w:rsidR="002546E5" w:rsidRPr="006B33C7">
              <w:rPr>
                <w:rStyle w:val="Hipervnculo"/>
                <w:noProof/>
                <w:lang w:val="es-BO"/>
              </w:rPr>
              <w:t>11.2 Estimación de Gastos de la ANUCTI</w:t>
            </w:r>
            <w:r w:rsidR="002546E5">
              <w:rPr>
                <w:noProof/>
                <w:webHidden/>
              </w:rPr>
              <w:tab/>
            </w:r>
            <w:r w:rsidR="002546E5">
              <w:rPr>
                <w:noProof/>
                <w:webHidden/>
              </w:rPr>
              <w:fldChar w:fldCharType="begin"/>
            </w:r>
            <w:r w:rsidR="002546E5">
              <w:rPr>
                <w:noProof/>
                <w:webHidden/>
              </w:rPr>
              <w:instrText xml:space="preserve"> PAGEREF _Toc471887298 \h </w:instrText>
            </w:r>
            <w:r w:rsidR="002546E5">
              <w:rPr>
                <w:noProof/>
                <w:webHidden/>
              </w:rPr>
            </w:r>
            <w:r w:rsidR="002546E5">
              <w:rPr>
                <w:noProof/>
                <w:webHidden/>
              </w:rPr>
              <w:fldChar w:fldCharType="separate"/>
            </w:r>
            <w:r w:rsidR="00B80977">
              <w:rPr>
                <w:noProof/>
                <w:webHidden/>
              </w:rPr>
              <w:t>19</w:t>
            </w:r>
            <w:r w:rsidR="002546E5">
              <w:rPr>
                <w:noProof/>
                <w:webHidden/>
              </w:rPr>
              <w:fldChar w:fldCharType="end"/>
            </w:r>
          </w:hyperlink>
        </w:p>
        <w:p w:rsidR="005D4EDD" w:rsidRDefault="005D4EDD">
          <w:r>
            <w:rPr>
              <w:b/>
              <w:bCs/>
              <w:lang w:val="es-ES"/>
            </w:rPr>
            <w:fldChar w:fldCharType="end"/>
          </w:r>
        </w:p>
      </w:sdtContent>
    </w:sdt>
    <w:p w:rsidR="000710AA" w:rsidRDefault="000710AA" w:rsidP="001D19AE">
      <w:pPr>
        <w:spacing w:after="0" w:line="240" w:lineRule="auto"/>
        <w:jc w:val="both"/>
        <w:rPr>
          <w:rFonts w:ascii="Arial" w:hAnsi="Arial" w:cs="Arial"/>
          <w:b/>
          <w:sz w:val="24"/>
          <w:szCs w:val="24"/>
          <w:lang w:val="es-BO"/>
        </w:rPr>
        <w:sectPr w:rsidR="000710AA" w:rsidSect="00B80977">
          <w:footerReference w:type="default" r:id="rId9"/>
          <w:pgSz w:w="12240" w:h="15840" w:code="1"/>
          <w:pgMar w:top="1134" w:right="1134" w:bottom="1134" w:left="1134" w:header="709" w:footer="709" w:gutter="0"/>
          <w:pgNumType w:start="0"/>
          <w:cols w:space="708"/>
          <w:titlePg/>
          <w:docGrid w:linePitch="360"/>
        </w:sectPr>
      </w:pPr>
    </w:p>
    <w:p w:rsidR="00F428C0" w:rsidRPr="00F428C0" w:rsidRDefault="00F428C0" w:rsidP="006F6142">
      <w:pPr>
        <w:pStyle w:val="Ttulo1"/>
        <w:rPr>
          <w:lang w:val="es-BO"/>
        </w:rPr>
      </w:pPr>
      <w:bookmarkStart w:id="1" w:name="_Toc471887271"/>
      <w:r w:rsidRPr="00F428C0">
        <w:rPr>
          <w:lang w:val="es-BO"/>
        </w:rPr>
        <w:lastRenderedPageBreak/>
        <w:t>1. Introducción</w:t>
      </w:r>
      <w:bookmarkEnd w:id="1"/>
    </w:p>
    <w:p w:rsidR="00F428C0" w:rsidRDefault="00F428C0" w:rsidP="001D19AE">
      <w:pPr>
        <w:spacing w:after="0" w:line="240" w:lineRule="auto"/>
        <w:jc w:val="both"/>
        <w:rPr>
          <w:rFonts w:ascii="Arial" w:hAnsi="Arial" w:cs="Arial"/>
          <w:sz w:val="24"/>
          <w:szCs w:val="24"/>
          <w:lang w:val="es-BO"/>
        </w:rPr>
      </w:pPr>
    </w:p>
    <w:p w:rsidR="001D19AE" w:rsidRPr="00F428C0" w:rsidRDefault="001D19AE" w:rsidP="001D19AE">
      <w:pPr>
        <w:spacing w:after="0" w:line="240" w:lineRule="auto"/>
        <w:jc w:val="both"/>
        <w:rPr>
          <w:rFonts w:ascii="Arial" w:hAnsi="Arial" w:cs="Arial"/>
          <w:sz w:val="24"/>
          <w:szCs w:val="24"/>
          <w:lang w:val="es-BO"/>
        </w:rPr>
      </w:pPr>
      <w:r w:rsidRPr="00F428C0">
        <w:rPr>
          <w:rFonts w:ascii="Arial" w:hAnsi="Arial" w:cs="Arial"/>
          <w:sz w:val="24"/>
          <w:szCs w:val="24"/>
          <w:lang w:val="es-BO"/>
        </w:rPr>
        <w:t>El S</w:t>
      </w:r>
      <w:r w:rsidR="0078407B" w:rsidRPr="00F428C0">
        <w:rPr>
          <w:rFonts w:ascii="Arial" w:hAnsi="Arial" w:cs="Arial"/>
          <w:sz w:val="24"/>
          <w:szCs w:val="24"/>
          <w:lang w:val="es-BO"/>
        </w:rPr>
        <w:t xml:space="preserve">istema </w:t>
      </w:r>
      <w:r w:rsidR="00FE4B93">
        <w:rPr>
          <w:rFonts w:ascii="Arial" w:hAnsi="Arial" w:cs="Arial"/>
          <w:sz w:val="24"/>
          <w:szCs w:val="24"/>
          <w:lang w:val="es-BO"/>
        </w:rPr>
        <w:t xml:space="preserve">Universitario de Investigación e Innovación </w:t>
      </w:r>
      <w:r w:rsidR="0078407B" w:rsidRPr="00F428C0">
        <w:rPr>
          <w:rFonts w:ascii="Arial" w:hAnsi="Arial" w:cs="Arial"/>
          <w:sz w:val="24"/>
          <w:szCs w:val="24"/>
          <w:lang w:val="es-BO"/>
        </w:rPr>
        <w:t>(S</w:t>
      </w:r>
      <w:r w:rsidR="00FE4B93">
        <w:rPr>
          <w:rFonts w:ascii="Arial" w:hAnsi="Arial" w:cs="Arial"/>
          <w:sz w:val="24"/>
          <w:szCs w:val="24"/>
          <w:lang w:val="es-BO"/>
        </w:rPr>
        <w:t>UII</w:t>
      </w:r>
      <w:r w:rsidR="0078407B" w:rsidRPr="00F428C0">
        <w:rPr>
          <w:rFonts w:ascii="Arial" w:hAnsi="Arial" w:cs="Arial"/>
          <w:sz w:val="24"/>
          <w:szCs w:val="24"/>
          <w:lang w:val="es-BO"/>
        </w:rPr>
        <w:t>)</w:t>
      </w:r>
      <w:r w:rsidRPr="00F428C0">
        <w:rPr>
          <w:rFonts w:ascii="Arial" w:hAnsi="Arial" w:cs="Arial"/>
          <w:sz w:val="24"/>
          <w:szCs w:val="24"/>
          <w:lang w:val="es-BO"/>
        </w:rPr>
        <w:t xml:space="preserve"> es una inst</w:t>
      </w:r>
      <w:r w:rsidR="0078407B" w:rsidRPr="00F428C0">
        <w:rPr>
          <w:rFonts w:ascii="Arial" w:hAnsi="Arial" w:cs="Arial"/>
          <w:sz w:val="24"/>
          <w:szCs w:val="24"/>
          <w:lang w:val="es-BO"/>
        </w:rPr>
        <w:t xml:space="preserve">ancia </w:t>
      </w:r>
      <w:r w:rsidRPr="00F428C0">
        <w:rPr>
          <w:rFonts w:ascii="Arial" w:hAnsi="Arial" w:cs="Arial"/>
          <w:sz w:val="24"/>
          <w:szCs w:val="24"/>
          <w:lang w:val="es-BO"/>
        </w:rPr>
        <w:t>que fomenta, coordina y articula las actividades científicas y tecnológicas nacionales con el objeto de promover el desarrollo de la</w:t>
      </w:r>
      <w:r w:rsidR="00445FF9" w:rsidRPr="00F428C0">
        <w:rPr>
          <w:rFonts w:ascii="Arial" w:hAnsi="Arial" w:cs="Arial"/>
          <w:sz w:val="24"/>
          <w:szCs w:val="24"/>
          <w:lang w:val="es-BO"/>
        </w:rPr>
        <w:t>s</w:t>
      </w:r>
      <w:r w:rsidRPr="00F428C0">
        <w:rPr>
          <w:rFonts w:ascii="Arial" w:hAnsi="Arial" w:cs="Arial"/>
          <w:sz w:val="24"/>
          <w:szCs w:val="24"/>
          <w:lang w:val="es-BO"/>
        </w:rPr>
        <w:t xml:space="preserve"> ciencia</w:t>
      </w:r>
      <w:r w:rsidR="00445FF9" w:rsidRPr="00F428C0">
        <w:rPr>
          <w:rFonts w:ascii="Arial" w:hAnsi="Arial" w:cs="Arial"/>
          <w:sz w:val="24"/>
          <w:szCs w:val="24"/>
          <w:lang w:val="es-BO"/>
        </w:rPr>
        <w:t>s</w:t>
      </w:r>
      <w:r w:rsidRPr="00F428C0">
        <w:rPr>
          <w:rFonts w:ascii="Arial" w:hAnsi="Arial" w:cs="Arial"/>
          <w:sz w:val="24"/>
          <w:szCs w:val="24"/>
          <w:lang w:val="es-BO"/>
        </w:rPr>
        <w:t xml:space="preserve"> básica</w:t>
      </w:r>
      <w:r w:rsidR="00445FF9" w:rsidRPr="00F428C0">
        <w:rPr>
          <w:rFonts w:ascii="Arial" w:hAnsi="Arial" w:cs="Arial"/>
          <w:sz w:val="24"/>
          <w:szCs w:val="24"/>
          <w:lang w:val="es-BO"/>
        </w:rPr>
        <w:t>s</w:t>
      </w:r>
      <w:r w:rsidRPr="00F428C0">
        <w:rPr>
          <w:rFonts w:ascii="Arial" w:hAnsi="Arial" w:cs="Arial"/>
          <w:sz w:val="24"/>
          <w:szCs w:val="24"/>
          <w:lang w:val="es-BO"/>
        </w:rPr>
        <w:t xml:space="preserve"> para ampliar las fronteras del conocimiento y asociarlo a la formación de recursos humanos y a la ampliación y mejora de la calidad de la educación en ciencia y tecnología. Además, se promueve el desarrollo y el fortalecimiento de la investigación aplicada para atender las más urgentes necesidades sociales y ampliar las perspectivas del sector productivo, haciendo posible, como consecuencia, la elevación en la calidad de vida de </w:t>
      </w:r>
      <w:r w:rsidR="00967234" w:rsidRPr="00F428C0">
        <w:rPr>
          <w:rFonts w:ascii="Arial" w:hAnsi="Arial" w:cs="Arial"/>
          <w:sz w:val="24"/>
          <w:szCs w:val="24"/>
          <w:lang w:val="es-BO"/>
        </w:rPr>
        <w:t xml:space="preserve">la </w:t>
      </w:r>
      <w:r w:rsidRPr="00F428C0">
        <w:rPr>
          <w:rFonts w:ascii="Arial" w:hAnsi="Arial" w:cs="Arial"/>
          <w:sz w:val="24"/>
          <w:szCs w:val="24"/>
          <w:lang w:val="es-BO"/>
        </w:rPr>
        <w:t>población.</w:t>
      </w:r>
    </w:p>
    <w:p w:rsidR="00EB2DD0" w:rsidRPr="00F428C0" w:rsidRDefault="00EB2DD0" w:rsidP="001D19AE">
      <w:pPr>
        <w:spacing w:after="0" w:line="240" w:lineRule="auto"/>
        <w:jc w:val="both"/>
        <w:rPr>
          <w:rFonts w:ascii="Arial" w:hAnsi="Arial" w:cs="Arial"/>
          <w:sz w:val="24"/>
          <w:szCs w:val="24"/>
          <w:lang w:val="es-BO"/>
        </w:rPr>
      </w:pPr>
    </w:p>
    <w:p w:rsidR="00A81A28" w:rsidRDefault="00967234" w:rsidP="00EB2DD0">
      <w:pPr>
        <w:autoSpaceDE w:val="0"/>
        <w:autoSpaceDN w:val="0"/>
        <w:adjustRightInd w:val="0"/>
        <w:spacing w:after="0" w:line="240" w:lineRule="auto"/>
        <w:jc w:val="both"/>
        <w:rPr>
          <w:rFonts w:ascii="Arial" w:hAnsi="Arial" w:cs="Arial"/>
          <w:sz w:val="24"/>
          <w:szCs w:val="24"/>
          <w:lang w:val="es-BO"/>
        </w:rPr>
      </w:pPr>
      <w:r w:rsidRPr="00F428C0">
        <w:rPr>
          <w:rFonts w:ascii="Arial" w:hAnsi="Arial" w:cs="Arial"/>
          <w:sz w:val="24"/>
          <w:szCs w:val="24"/>
          <w:lang w:val="es-BO"/>
        </w:rPr>
        <w:t xml:space="preserve">Para el </w:t>
      </w:r>
      <w:r w:rsidR="00EB2DD0" w:rsidRPr="00F428C0">
        <w:rPr>
          <w:rFonts w:ascii="Arial" w:hAnsi="Arial" w:cs="Arial"/>
          <w:sz w:val="24"/>
          <w:szCs w:val="24"/>
          <w:lang w:val="es-BO"/>
        </w:rPr>
        <w:t>financiamiento de las actividades del S</w:t>
      </w:r>
      <w:r w:rsidR="00A81A28">
        <w:rPr>
          <w:rFonts w:ascii="Arial" w:hAnsi="Arial" w:cs="Arial"/>
          <w:sz w:val="24"/>
          <w:szCs w:val="24"/>
          <w:lang w:val="es-BO"/>
        </w:rPr>
        <w:t>UII, se prevé la constitución y operación del Fondo Nacional Universitario de Ciencia y Tecnología (FONUCyT) con el aporte del 1% del IDH de las universidades públicas del SUB y otros aportes</w:t>
      </w:r>
      <w:r w:rsidR="00EB2DD0" w:rsidRPr="00F428C0">
        <w:rPr>
          <w:rFonts w:ascii="Arial" w:hAnsi="Arial" w:cs="Arial"/>
          <w:sz w:val="24"/>
          <w:szCs w:val="24"/>
          <w:lang w:val="es-BO"/>
        </w:rPr>
        <w:t xml:space="preserve">, </w:t>
      </w:r>
      <w:r w:rsidR="00A81A28">
        <w:rPr>
          <w:rFonts w:ascii="Arial" w:hAnsi="Arial" w:cs="Arial"/>
          <w:sz w:val="24"/>
          <w:szCs w:val="24"/>
          <w:lang w:val="es-BO"/>
        </w:rPr>
        <w:t xml:space="preserve">este Fondo se constituye en </w:t>
      </w:r>
      <w:r w:rsidR="00EB2DD0" w:rsidRPr="00F428C0">
        <w:rPr>
          <w:rFonts w:ascii="Arial" w:hAnsi="Arial" w:cs="Arial"/>
          <w:sz w:val="24"/>
          <w:szCs w:val="24"/>
          <w:lang w:val="es-BO"/>
        </w:rPr>
        <w:t xml:space="preserve">“capital semilla” para </w:t>
      </w:r>
      <w:r w:rsidR="00A81A28">
        <w:rPr>
          <w:rFonts w:ascii="Arial" w:hAnsi="Arial" w:cs="Arial"/>
          <w:sz w:val="24"/>
          <w:szCs w:val="24"/>
          <w:lang w:val="es-BO"/>
        </w:rPr>
        <w:t>las actividades de la Agencia Nacional Universitaria de Ciencia, Tecnología e Innovación (ANUCTI).</w:t>
      </w:r>
    </w:p>
    <w:p w:rsidR="00A81A28" w:rsidRDefault="00A81A28" w:rsidP="00F57736">
      <w:pPr>
        <w:spacing w:after="0" w:line="240" w:lineRule="auto"/>
        <w:jc w:val="both"/>
        <w:rPr>
          <w:rFonts w:ascii="Arial" w:hAnsi="Arial" w:cs="Arial"/>
          <w:sz w:val="24"/>
          <w:szCs w:val="24"/>
          <w:lang w:val="es-BO"/>
        </w:rPr>
      </w:pPr>
    </w:p>
    <w:p w:rsidR="00F57736" w:rsidRPr="00F428C0" w:rsidRDefault="0065443E" w:rsidP="00F57736">
      <w:pPr>
        <w:spacing w:after="0" w:line="240" w:lineRule="auto"/>
        <w:jc w:val="both"/>
        <w:rPr>
          <w:rFonts w:ascii="Arial" w:hAnsi="Arial" w:cs="Arial"/>
          <w:sz w:val="24"/>
          <w:szCs w:val="24"/>
          <w:lang w:val="es-BO"/>
        </w:rPr>
      </w:pPr>
      <w:r w:rsidRPr="00F428C0">
        <w:rPr>
          <w:rFonts w:ascii="Arial" w:hAnsi="Arial" w:cs="Arial"/>
          <w:sz w:val="24"/>
          <w:szCs w:val="24"/>
          <w:lang w:val="es-BO"/>
        </w:rPr>
        <w:t>El principal instrumento operativo para llevar adelante la ejecución del Plan Nacional de Ciencia, Tecnología e Innovación</w:t>
      </w:r>
      <w:r w:rsidR="00A81A28">
        <w:rPr>
          <w:rFonts w:ascii="Arial" w:hAnsi="Arial" w:cs="Arial"/>
          <w:sz w:val="24"/>
          <w:szCs w:val="24"/>
          <w:lang w:val="es-BO"/>
        </w:rPr>
        <w:t xml:space="preserve"> del SUB</w:t>
      </w:r>
      <w:r w:rsidR="00F57736" w:rsidRPr="00F428C0">
        <w:rPr>
          <w:rFonts w:ascii="Arial" w:hAnsi="Arial" w:cs="Arial"/>
          <w:sz w:val="24"/>
          <w:szCs w:val="24"/>
          <w:lang w:val="es-BO"/>
        </w:rPr>
        <w:t xml:space="preserve">, </w:t>
      </w:r>
      <w:r w:rsidRPr="00F428C0">
        <w:rPr>
          <w:rFonts w:ascii="Arial" w:hAnsi="Arial" w:cs="Arial"/>
          <w:sz w:val="24"/>
          <w:szCs w:val="24"/>
          <w:lang w:val="es-BO"/>
        </w:rPr>
        <w:t>es el</w:t>
      </w:r>
      <w:r w:rsidR="00F57736" w:rsidRPr="00F428C0">
        <w:rPr>
          <w:rFonts w:ascii="Arial" w:hAnsi="Arial" w:cs="Arial"/>
          <w:sz w:val="24"/>
          <w:szCs w:val="24"/>
          <w:lang w:val="es-BO"/>
        </w:rPr>
        <w:t xml:space="preserve"> F</w:t>
      </w:r>
      <w:r w:rsidR="00A81A28">
        <w:rPr>
          <w:rFonts w:ascii="Arial" w:hAnsi="Arial" w:cs="Arial"/>
          <w:sz w:val="24"/>
          <w:szCs w:val="24"/>
          <w:lang w:val="es-BO"/>
        </w:rPr>
        <w:t>ONUCyT a través de la ANUCTI,</w:t>
      </w:r>
      <w:r w:rsidRPr="00F428C0">
        <w:rPr>
          <w:rFonts w:ascii="Arial" w:hAnsi="Arial" w:cs="Arial"/>
          <w:sz w:val="24"/>
          <w:szCs w:val="24"/>
          <w:lang w:val="es-BO"/>
        </w:rPr>
        <w:t xml:space="preserve"> que permitirá </w:t>
      </w:r>
      <w:r w:rsidR="00F57736" w:rsidRPr="00F428C0">
        <w:rPr>
          <w:rFonts w:ascii="Arial" w:hAnsi="Arial" w:cs="Arial"/>
          <w:sz w:val="24"/>
          <w:szCs w:val="24"/>
          <w:lang w:val="es-BO"/>
        </w:rPr>
        <w:t xml:space="preserve">la consolidación, desarrollo y fortalecimiento del </w:t>
      </w:r>
      <w:r w:rsidR="00A81A28">
        <w:rPr>
          <w:rFonts w:ascii="Arial" w:hAnsi="Arial" w:cs="Arial"/>
          <w:sz w:val="24"/>
          <w:szCs w:val="24"/>
          <w:lang w:val="es-BO"/>
        </w:rPr>
        <w:t>SUII</w:t>
      </w:r>
      <w:r w:rsidR="00F57736" w:rsidRPr="00F428C0">
        <w:rPr>
          <w:rFonts w:ascii="Arial" w:hAnsi="Arial" w:cs="Arial"/>
          <w:sz w:val="24"/>
          <w:szCs w:val="24"/>
          <w:lang w:val="es-BO"/>
        </w:rPr>
        <w:t xml:space="preserve">. Es importante mencionar que, un Plan no tiene la posibilidad de ser implementado si no se garantizan los recursos necesarios </w:t>
      </w:r>
      <w:r w:rsidRPr="00F428C0">
        <w:rPr>
          <w:rFonts w:ascii="Arial" w:hAnsi="Arial" w:cs="Arial"/>
          <w:sz w:val="24"/>
          <w:szCs w:val="24"/>
          <w:lang w:val="es-BO"/>
        </w:rPr>
        <w:t xml:space="preserve">para </w:t>
      </w:r>
      <w:r w:rsidR="00F57736" w:rsidRPr="00F428C0">
        <w:rPr>
          <w:rFonts w:ascii="Arial" w:hAnsi="Arial" w:cs="Arial"/>
          <w:sz w:val="24"/>
          <w:szCs w:val="24"/>
          <w:lang w:val="es-BO"/>
        </w:rPr>
        <w:t>el logro de las metas establecidas en él.</w:t>
      </w:r>
    </w:p>
    <w:p w:rsidR="00F57736" w:rsidRPr="00F428C0" w:rsidRDefault="00F57736" w:rsidP="00F57736">
      <w:pPr>
        <w:spacing w:after="0" w:line="240" w:lineRule="auto"/>
        <w:jc w:val="both"/>
        <w:rPr>
          <w:rFonts w:ascii="Arial" w:hAnsi="Arial" w:cs="Arial"/>
          <w:sz w:val="24"/>
          <w:szCs w:val="24"/>
          <w:lang w:val="es-BO"/>
        </w:rPr>
      </w:pPr>
    </w:p>
    <w:p w:rsidR="00EB2DD0" w:rsidRDefault="00EB2DD0" w:rsidP="00EB2DD0">
      <w:pPr>
        <w:autoSpaceDE w:val="0"/>
        <w:autoSpaceDN w:val="0"/>
        <w:adjustRightInd w:val="0"/>
        <w:spacing w:after="0" w:line="240" w:lineRule="auto"/>
        <w:jc w:val="both"/>
        <w:rPr>
          <w:rFonts w:ascii="Arial" w:hAnsi="Arial" w:cs="Arial"/>
          <w:sz w:val="24"/>
          <w:szCs w:val="24"/>
          <w:lang w:val="es-BO"/>
        </w:rPr>
      </w:pPr>
      <w:r w:rsidRPr="00F428C0">
        <w:rPr>
          <w:rFonts w:ascii="Arial" w:hAnsi="Arial" w:cs="Arial"/>
          <w:sz w:val="24"/>
          <w:szCs w:val="24"/>
          <w:lang w:val="es-BO"/>
        </w:rPr>
        <w:t xml:space="preserve">El </w:t>
      </w:r>
      <w:r w:rsidR="0065443E" w:rsidRPr="00F428C0">
        <w:rPr>
          <w:rFonts w:ascii="Arial" w:hAnsi="Arial" w:cs="Arial"/>
          <w:sz w:val="24"/>
          <w:szCs w:val="24"/>
          <w:lang w:val="es-BO"/>
        </w:rPr>
        <w:t>FON</w:t>
      </w:r>
      <w:r w:rsidR="00A81A28">
        <w:rPr>
          <w:rFonts w:ascii="Arial" w:hAnsi="Arial" w:cs="Arial"/>
          <w:sz w:val="24"/>
          <w:szCs w:val="24"/>
          <w:lang w:val="es-BO"/>
        </w:rPr>
        <w:t>U</w:t>
      </w:r>
      <w:r w:rsidR="0065443E" w:rsidRPr="00F428C0">
        <w:rPr>
          <w:rFonts w:ascii="Arial" w:hAnsi="Arial" w:cs="Arial"/>
          <w:sz w:val="24"/>
          <w:szCs w:val="24"/>
          <w:lang w:val="es-BO"/>
        </w:rPr>
        <w:t>CyT</w:t>
      </w:r>
      <w:r w:rsidR="00A81A28">
        <w:rPr>
          <w:rFonts w:ascii="Arial" w:hAnsi="Arial" w:cs="Arial"/>
          <w:sz w:val="24"/>
          <w:szCs w:val="24"/>
          <w:lang w:val="es-BO"/>
        </w:rPr>
        <w:t xml:space="preserve"> será administrado por la ANUCTI a través</w:t>
      </w:r>
      <w:r w:rsidR="00D87D9F" w:rsidRPr="00F428C0">
        <w:rPr>
          <w:rFonts w:ascii="Arial" w:hAnsi="Arial" w:cs="Arial"/>
          <w:sz w:val="24"/>
          <w:szCs w:val="24"/>
          <w:lang w:val="es-BO"/>
        </w:rPr>
        <w:t xml:space="preserve"> de </w:t>
      </w:r>
      <w:r w:rsidRPr="00F428C0">
        <w:rPr>
          <w:rFonts w:ascii="Arial" w:hAnsi="Arial" w:cs="Arial"/>
          <w:sz w:val="24"/>
          <w:szCs w:val="24"/>
          <w:lang w:val="es-BO"/>
        </w:rPr>
        <w:t xml:space="preserve">programas de apoyo y financiamiento que se establecen para canalizar recursos a varias iniciativas de investigación y/o innovación. Sin embargo, los reglamentos para cada programa de apoyo deben ser desarrollados </w:t>
      </w:r>
      <w:r w:rsidR="00D87D9F" w:rsidRPr="00F428C0">
        <w:rPr>
          <w:rFonts w:ascii="Arial" w:hAnsi="Arial" w:cs="Arial"/>
          <w:sz w:val="24"/>
          <w:szCs w:val="24"/>
          <w:lang w:val="es-BO"/>
        </w:rPr>
        <w:t>de manera previa</w:t>
      </w:r>
      <w:r w:rsidRPr="00F428C0">
        <w:rPr>
          <w:rFonts w:ascii="Arial" w:hAnsi="Arial" w:cs="Arial"/>
          <w:sz w:val="24"/>
          <w:szCs w:val="24"/>
          <w:lang w:val="es-BO"/>
        </w:rPr>
        <w:t>.</w:t>
      </w:r>
    </w:p>
    <w:p w:rsidR="00A81A28" w:rsidRDefault="00A81A28" w:rsidP="00EB2DD0">
      <w:pPr>
        <w:autoSpaceDE w:val="0"/>
        <w:autoSpaceDN w:val="0"/>
        <w:adjustRightInd w:val="0"/>
        <w:spacing w:after="0" w:line="240" w:lineRule="auto"/>
        <w:jc w:val="both"/>
        <w:rPr>
          <w:rFonts w:ascii="Arial" w:hAnsi="Arial" w:cs="Arial"/>
          <w:sz w:val="24"/>
          <w:szCs w:val="24"/>
          <w:lang w:val="es-BO"/>
        </w:rPr>
      </w:pPr>
    </w:p>
    <w:p w:rsidR="00A81A28" w:rsidRPr="00F428C0" w:rsidRDefault="00A81A28" w:rsidP="00EB2DD0">
      <w:pPr>
        <w:autoSpaceDE w:val="0"/>
        <w:autoSpaceDN w:val="0"/>
        <w:adjustRightInd w:val="0"/>
        <w:spacing w:after="0" w:line="240" w:lineRule="auto"/>
        <w:jc w:val="both"/>
        <w:rPr>
          <w:rFonts w:ascii="Arial" w:hAnsi="Arial" w:cs="Arial"/>
          <w:sz w:val="24"/>
          <w:szCs w:val="24"/>
          <w:lang w:val="es-BO"/>
        </w:rPr>
      </w:pPr>
      <w:r>
        <w:rPr>
          <w:rFonts w:ascii="Arial" w:hAnsi="Arial" w:cs="Arial"/>
          <w:sz w:val="24"/>
          <w:szCs w:val="24"/>
          <w:lang w:val="es-BO"/>
        </w:rPr>
        <w:t>En el presente documento se describe la forma como se administrará el FONUCyT por parte de la Agencia Nacional Universitaria de Ciencia y Tecnología e Innovación (ANUCTI), incluyendo un presupuesto equilibrado para su funcionamiento en el periodo 2017-2021.</w:t>
      </w:r>
    </w:p>
    <w:p w:rsidR="00F428C0" w:rsidRDefault="00F428C0" w:rsidP="00655BD9">
      <w:pPr>
        <w:spacing w:after="0" w:line="240" w:lineRule="auto"/>
        <w:rPr>
          <w:rFonts w:ascii="Arial" w:hAnsi="Arial" w:cs="Arial"/>
          <w:b/>
          <w:sz w:val="24"/>
          <w:szCs w:val="24"/>
          <w:lang w:val="es-BO"/>
        </w:rPr>
      </w:pPr>
    </w:p>
    <w:p w:rsidR="00A81A28" w:rsidRPr="00F428C0" w:rsidRDefault="00A81A28" w:rsidP="00655BD9">
      <w:pPr>
        <w:spacing w:after="0" w:line="240" w:lineRule="auto"/>
        <w:rPr>
          <w:rFonts w:ascii="Arial" w:hAnsi="Arial" w:cs="Arial"/>
          <w:b/>
          <w:sz w:val="24"/>
          <w:szCs w:val="24"/>
          <w:lang w:val="es-BO"/>
        </w:rPr>
      </w:pPr>
    </w:p>
    <w:p w:rsidR="00655BD9" w:rsidRPr="006F6142" w:rsidRDefault="00D37B9C" w:rsidP="00673E9C">
      <w:pPr>
        <w:pStyle w:val="Ttulo1"/>
        <w:rPr>
          <w:lang w:val="es-BO"/>
        </w:rPr>
      </w:pPr>
      <w:bookmarkStart w:id="2" w:name="_Toc471887272"/>
      <w:r w:rsidRPr="006F6142">
        <w:rPr>
          <w:lang w:val="es-BO"/>
        </w:rPr>
        <w:t>2. Objetivo</w:t>
      </w:r>
      <w:r w:rsidR="00A70D68" w:rsidRPr="006F6142">
        <w:rPr>
          <w:lang w:val="es-BO"/>
        </w:rPr>
        <w:t>s</w:t>
      </w:r>
      <w:bookmarkEnd w:id="2"/>
    </w:p>
    <w:p w:rsidR="00A70D68" w:rsidRPr="00526208" w:rsidRDefault="00A70D68" w:rsidP="00526208">
      <w:pPr>
        <w:spacing w:after="0" w:line="240" w:lineRule="auto"/>
        <w:rPr>
          <w:rFonts w:ascii="Arial" w:hAnsi="Arial" w:cs="Arial"/>
          <w:b/>
          <w:sz w:val="24"/>
          <w:szCs w:val="24"/>
          <w:lang w:val="es-BO"/>
        </w:rPr>
      </w:pPr>
    </w:p>
    <w:p w:rsidR="00A70D68" w:rsidRPr="00526208" w:rsidRDefault="00A70D68" w:rsidP="006F6142">
      <w:pPr>
        <w:pStyle w:val="Ttulo2"/>
        <w:rPr>
          <w:lang w:val="es-BO"/>
        </w:rPr>
      </w:pPr>
      <w:bookmarkStart w:id="3" w:name="_Toc471887273"/>
      <w:r w:rsidRPr="00526208">
        <w:rPr>
          <w:lang w:val="es-BO"/>
        </w:rPr>
        <w:t>2.1 Objetivo general</w:t>
      </w:r>
      <w:bookmarkEnd w:id="3"/>
    </w:p>
    <w:p w:rsidR="00655BD9" w:rsidRPr="00526208" w:rsidRDefault="00655BD9" w:rsidP="00526208">
      <w:pPr>
        <w:spacing w:after="0" w:line="240" w:lineRule="auto"/>
        <w:rPr>
          <w:rFonts w:ascii="Arial" w:hAnsi="Arial" w:cs="Arial"/>
          <w:b/>
          <w:sz w:val="24"/>
          <w:szCs w:val="24"/>
          <w:lang w:val="es-BO"/>
        </w:rPr>
      </w:pPr>
    </w:p>
    <w:p w:rsidR="0052197E" w:rsidRPr="00526208" w:rsidRDefault="002D390E" w:rsidP="00526208">
      <w:pPr>
        <w:autoSpaceDE w:val="0"/>
        <w:autoSpaceDN w:val="0"/>
        <w:adjustRightInd w:val="0"/>
        <w:spacing w:after="0" w:line="240" w:lineRule="auto"/>
        <w:jc w:val="both"/>
        <w:rPr>
          <w:rFonts w:ascii="Arial" w:hAnsi="Arial" w:cs="Arial"/>
          <w:sz w:val="24"/>
          <w:szCs w:val="24"/>
          <w:lang w:val="es-BO"/>
        </w:rPr>
      </w:pPr>
      <w:r w:rsidRPr="00526208">
        <w:rPr>
          <w:rFonts w:ascii="Arial" w:hAnsi="Arial" w:cs="Arial"/>
          <w:sz w:val="24"/>
          <w:szCs w:val="24"/>
          <w:lang w:val="es-BO"/>
        </w:rPr>
        <w:t>El Fondo</w:t>
      </w:r>
      <w:r w:rsidR="0052197E" w:rsidRPr="00526208">
        <w:rPr>
          <w:rFonts w:ascii="Arial" w:hAnsi="Arial" w:cs="Arial"/>
          <w:sz w:val="24"/>
          <w:szCs w:val="24"/>
          <w:lang w:val="es-BO"/>
        </w:rPr>
        <w:t xml:space="preserve"> Nacional Universitario de Ciencia y Tecnología (FONUCyT)</w:t>
      </w:r>
      <w:r w:rsidRPr="00526208">
        <w:rPr>
          <w:rFonts w:ascii="Arial" w:hAnsi="Arial" w:cs="Arial"/>
          <w:sz w:val="24"/>
          <w:szCs w:val="24"/>
          <w:lang w:val="es-BO"/>
        </w:rPr>
        <w:t xml:space="preserve"> </w:t>
      </w:r>
      <w:r w:rsidR="00A81A28">
        <w:rPr>
          <w:rFonts w:ascii="Arial" w:hAnsi="Arial" w:cs="Arial"/>
          <w:sz w:val="24"/>
          <w:szCs w:val="24"/>
          <w:lang w:val="es-BO"/>
        </w:rPr>
        <w:t>tiene como</w:t>
      </w:r>
      <w:r w:rsidR="001A05A8">
        <w:rPr>
          <w:rFonts w:ascii="Arial" w:hAnsi="Arial" w:cs="Arial"/>
          <w:sz w:val="24"/>
          <w:szCs w:val="24"/>
          <w:lang w:val="es-BO"/>
        </w:rPr>
        <w:t xml:space="preserve"> </w:t>
      </w:r>
      <w:r w:rsidR="00A81A28">
        <w:rPr>
          <w:rFonts w:ascii="Arial" w:hAnsi="Arial" w:cs="Arial"/>
          <w:sz w:val="24"/>
          <w:szCs w:val="24"/>
          <w:lang w:val="es-BO"/>
        </w:rPr>
        <w:t>objetivo</w:t>
      </w:r>
      <w:r w:rsidR="00D37B9C" w:rsidRPr="00526208">
        <w:rPr>
          <w:rFonts w:ascii="Arial" w:hAnsi="Arial" w:cs="Arial"/>
          <w:sz w:val="24"/>
          <w:szCs w:val="24"/>
          <w:lang w:val="es-BO"/>
        </w:rPr>
        <w:t xml:space="preserve"> el</w:t>
      </w:r>
      <w:r w:rsidR="001A05A8">
        <w:rPr>
          <w:rFonts w:ascii="Arial" w:hAnsi="Arial" w:cs="Arial"/>
          <w:sz w:val="24"/>
          <w:szCs w:val="24"/>
          <w:lang w:val="es-BO"/>
        </w:rPr>
        <w:t xml:space="preserve"> constituirse en el principal instrumento operativo de ejecución del Plan Nacional de Ciencia, Tecnología e Innovación (PNCTI), promoviendo la presentación y ejecución de</w:t>
      </w:r>
      <w:r w:rsidR="00D37B9C" w:rsidRPr="00526208">
        <w:rPr>
          <w:rFonts w:ascii="Arial" w:hAnsi="Arial" w:cs="Arial"/>
          <w:sz w:val="24"/>
          <w:szCs w:val="24"/>
          <w:lang w:val="es-BO"/>
        </w:rPr>
        <w:t xml:space="preserve"> </w:t>
      </w:r>
      <w:r w:rsidR="0052197E" w:rsidRPr="00526208">
        <w:rPr>
          <w:rFonts w:ascii="Arial" w:hAnsi="Arial" w:cs="Arial"/>
          <w:sz w:val="24"/>
          <w:szCs w:val="24"/>
          <w:lang w:val="es-BO"/>
        </w:rPr>
        <w:t xml:space="preserve">proyectos, programas y redes </w:t>
      </w:r>
      <w:r w:rsidR="00D37B9C" w:rsidRPr="00526208">
        <w:rPr>
          <w:rFonts w:ascii="Arial" w:hAnsi="Arial" w:cs="Arial"/>
          <w:sz w:val="24"/>
          <w:szCs w:val="24"/>
          <w:lang w:val="es-BO"/>
        </w:rPr>
        <w:t xml:space="preserve">de investigación e innovación en </w:t>
      </w:r>
      <w:r w:rsidRPr="00526208">
        <w:rPr>
          <w:rFonts w:ascii="Arial" w:hAnsi="Arial" w:cs="Arial"/>
          <w:sz w:val="24"/>
          <w:szCs w:val="24"/>
          <w:lang w:val="es-BO"/>
        </w:rPr>
        <w:t>el S</w:t>
      </w:r>
      <w:r w:rsidR="0052197E" w:rsidRPr="00526208">
        <w:rPr>
          <w:rFonts w:ascii="Arial" w:hAnsi="Arial" w:cs="Arial"/>
          <w:sz w:val="24"/>
          <w:szCs w:val="24"/>
          <w:lang w:val="es-BO"/>
        </w:rPr>
        <w:t>UII</w:t>
      </w:r>
      <w:r w:rsidR="00D37B9C" w:rsidRPr="00526208">
        <w:rPr>
          <w:rFonts w:ascii="Arial" w:hAnsi="Arial" w:cs="Arial"/>
          <w:sz w:val="24"/>
          <w:szCs w:val="24"/>
          <w:lang w:val="es-BO"/>
        </w:rPr>
        <w:t xml:space="preserve">, donde los actores del sector académico, sector productivo, sociedad civil y gobierno interactúan con el propósito lograr sinergias y maximizar los beneficios de los procesos de investigación e innovación. Este apoyo se efectiviza a través </w:t>
      </w:r>
      <w:r w:rsidRPr="00526208">
        <w:rPr>
          <w:rFonts w:ascii="Arial" w:hAnsi="Arial" w:cs="Arial"/>
          <w:sz w:val="24"/>
          <w:szCs w:val="24"/>
          <w:lang w:val="es-BO"/>
        </w:rPr>
        <w:t>de mecanismos financieros</w:t>
      </w:r>
      <w:r w:rsidR="00D37B9C" w:rsidRPr="00526208">
        <w:rPr>
          <w:rFonts w:ascii="Arial" w:hAnsi="Arial" w:cs="Arial"/>
          <w:sz w:val="24"/>
          <w:szCs w:val="24"/>
          <w:lang w:val="es-BO"/>
        </w:rPr>
        <w:t xml:space="preserve"> que se traducen en fondos concursables para </w:t>
      </w:r>
      <w:r w:rsidR="0052197E" w:rsidRPr="00526208">
        <w:rPr>
          <w:rFonts w:ascii="Arial" w:hAnsi="Arial" w:cs="Arial"/>
          <w:sz w:val="24"/>
          <w:szCs w:val="24"/>
          <w:lang w:val="es-BO"/>
        </w:rPr>
        <w:t xml:space="preserve">procesos de investigación e innovación, formación de talento humano </w:t>
      </w:r>
      <w:r w:rsidRPr="00526208">
        <w:rPr>
          <w:rFonts w:ascii="Arial" w:hAnsi="Arial" w:cs="Arial"/>
          <w:sz w:val="24"/>
          <w:szCs w:val="24"/>
          <w:lang w:val="es-BO"/>
        </w:rPr>
        <w:t>y s</w:t>
      </w:r>
      <w:r w:rsidR="00C06C63" w:rsidRPr="00526208">
        <w:rPr>
          <w:rFonts w:ascii="Arial" w:hAnsi="Arial" w:cs="Arial"/>
          <w:sz w:val="24"/>
          <w:szCs w:val="24"/>
          <w:lang w:val="es-BO"/>
        </w:rPr>
        <w:t>ervicios técnico</w:t>
      </w:r>
      <w:r w:rsidR="00D37B9C" w:rsidRPr="00526208">
        <w:rPr>
          <w:rFonts w:ascii="Arial" w:hAnsi="Arial" w:cs="Arial"/>
          <w:sz w:val="24"/>
          <w:szCs w:val="24"/>
          <w:lang w:val="es-BO"/>
        </w:rPr>
        <w:t xml:space="preserve">s, para incorporar </w:t>
      </w:r>
      <w:r w:rsidRPr="00526208">
        <w:rPr>
          <w:rFonts w:ascii="Arial" w:hAnsi="Arial" w:cs="Arial"/>
          <w:sz w:val="24"/>
          <w:szCs w:val="24"/>
          <w:lang w:val="es-BO"/>
        </w:rPr>
        <w:t>de manera más acelera</w:t>
      </w:r>
      <w:r w:rsidR="003D1290" w:rsidRPr="00526208">
        <w:rPr>
          <w:rFonts w:ascii="Arial" w:hAnsi="Arial" w:cs="Arial"/>
          <w:sz w:val="24"/>
          <w:szCs w:val="24"/>
          <w:lang w:val="es-BO"/>
        </w:rPr>
        <w:t>da el conocimiento como recurso</w:t>
      </w:r>
      <w:r w:rsidRPr="00526208">
        <w:rPr>
          <w:rFonts w:ascii="Arial" w:hAnsi="Arial" w:cs="Arial"/>
          <w:sz w:val="24"/>
          <w:szCs w:val="24"/>
          <w:lang w:val="es-BO"/>
        </w:rPr>
        <w:t xml:space="preserve"> esencial en la producción de bienes y servicios.</w:t>
      </w:r>
      <w:r w:rsidR="0052197E" w:rsidRPr="00526208">
        <w:rPr>
          <w:rFonts w:ascii="Arial" w:hAnsi="Arial" w:cs="Arial"/>
          <w:sz w:val="24"/>
          <w:szCs w:val="24"/>
          <w:lang w:val="es-BO"/>
        </w:rPr>
        <w:t xml:space="preserve"> </w:t>
      </w:r>
    </w:p>
    <w:p w:rsidR="0052197E" w:rsidRPr="00526208" w:rsidRDefault="0052197E" w:rsidP="00526208">
      <w:pPr>
        <w:autoSpaceDE w:val="0"/>
        <w:autoSpaceDN w:val="0"/>
        <w:adjustRightInd w:val="0"/>
        <w:spacing w:after="0" w:line="240" w:lineRule="auto"/>
        <w:jc w:val="both"/>
        <w:rPr>
          <w:rFonts w:ascii="Arial" w:hAnsi="Arial" w:cs="Arial"/>
          <w:sz w:val="24"/>
          <w:szCs w:val="24"/>
          <w:lang w:val="es-BO"/>
        </w:rPr>
      </w:pPr>
    </w:p>
    <w:p w:rsidR="00325384" w:rsidRPr="00526208" w:rsidRDefault="00325384" w:rsidP="00526208">
      <w:pPr>
        <w:spacing w:after="0" w:line="240" w:lineRule="auto"/>
        <w:rPr>
          <w:rFonts w:ascii="Arial" w:hAnsi="Arial" w:cs="Arial"/>
          <w:sz w:val="24"/>
          <w:szCs w:val="24"/>
          <w:lang w:val="es-BO"/>
        </w:rPr>
      </w:pPr>
    </w:p>
    <w:p w:rsidR="00A66BFE" w:rsidRPr="00526208" w:rsidRDefault="00F428C0" w:rsidP="006F6142">
      <w:pPr>
        <w:pStyle w:val="Ttulo2"/>
        <w:rPr>
          <w:lang w:val="es-BO"/>
        </w:rPr>
      </w:pPr>
      <w:bookmarkStart w:id="4" w:name="_Toc471887274"/>
      <w:r w:rsidRPr="00526208">
        <w:rPr>
          <w:lang w:val="es-BO"/>
        </w:rPr>
        <w:t xml:space="preserve">2.2 </w:t>
      </w:r>
      <w:r w:rsidR="00325384" w:rsidRPr="00526208">
        <w:rPr>
          <w:lang w:val="es-BO"/>
        </w:rPr>
        <w:t>Objetivos específicos</w:t>
      </w:r>
      <w:bookmarkEnd w:id="4"/>
    </w:p>
    <w:p w:rsidR="00325384" w:rsidRDefault="00325384" w:rsidP="00526208">
      <w:pPr>
        <w:spacing w:after="0" w:line="240" w:lineRule="auto"/>
        <w:rPr>
          <w:rFonts w:ascii="Arial" w:hAnsi="Arial" w:cs="Arial"/>
          <w:sz w:val="24"/>
          <w:szCs w:val="24"/>
          <w:lang w:val="es-BO"/>
        </w:rPr>
      </w:pPr>
    </w:p>
    <w:p w:rsidR="00E57567" w:rsidRDefault="00E57567" w:rsidP="00526208">
      <w:pPr>
        <w:spacing w:after="0" w:line="240" w:lineRule="auto"/>
        <w:rPr>
          <w:rFonts w:ascii="Arial" w:hAnsi="Arial" w:cs="Arial"/>
          <w:sz w:val="24"/>
          <w:szCs w:val="24"/>
          <w:lang w:val="es-BO"/>
        </w:rPr>
      </w:pPr>
      <w:r>
        <w:rPr>
          <w:rFonts w:ascii="Arial" w:hAnsi="Arial" w:cs="Arial"/>
          <w:sz w:val="24"/>
          <w:szCs w:val="24"/>
          <w:lang w:val="es-BO"/>
        </w:rPr>
        <w:t>En concordancia con el objetivo general, el FONUCyT tiene los siguientes objetivos específicos:</w:t>
      </w:r>
    </w:p>
    <w:p w:rsidR="00E57567" w:rsidRPr="00526208" w:rsidRDefault="00E57567" w:rsidP="00526208">
      <w:pPr>
        <w:spacing w:after="0" w:line="240" w:lineRule="auto"/>
        <w:rPr>
          <w:rFonts w:ascii="Arial" w:hAnsi="Arial" w:cs="Arial"/>
          <w:sz w:val="24"/>
          <w:szCs w:val="24"/>
          <w:lang w:val="es-BO"/>
        </w:rPr>
      </w:pPr>
    </w:p>
    <w:p w:rsidR="00D37B9C" w:rsidRPr="00526208" w:rsidRDefault="00A70D68" w:rsidP="00526208">
      <w:pPr>
        <w:pStyle w:val="Prrafodelista"/>
        <w:numPr>
          <w:ilvl w:val="0"/>
          <w:numId w:val="13"/>
        </w:numPr>
        <w:spacing w:after="0" w:line="240" w:lineRule="auto"/>
        <w:jc w:val="both"/>
        <w:rPr>
          <w:rFonts w:ascii="Arial" w:hAnsi="Arial" w:cs="Arial"/>
          <w:sz w:val="24"/>
          <w:szCs w:val="24"/>
          <w:lang w:val="es-BO"/>
        </w:rPr>
      </w:pPr>
      <w:r w:rsidRPr="00526208">
        <w:rPr>
          <w:rFonts w:ascii="Arial" w:hAnsi="Arial" w:cs="Arial"/>
          <w:sz w:val="24"/>
          <w:szCs w:val="24"/>
          <w:lang w:val="es-BO"/>
        </w:rPr>
        <w:t xml:space="preserve">Apalancar los recursos del fondo semilla aportado por las universidades del SUB con financiamientos del gobierno, del sector productivo y de la cooperación internacional. </w:t>
      </w:r>
    </w:p>
    <w:p w:rsidR="00325384" w:rsidRPr="00526208" w:rsidRDefault="00325384" w:rsidP="00526208">
      <w:pPr>
        <w:pStyle w:val="Prrafodelista"/>
        <w:numPr>
          <w:ilvl w:val="0"/>
          <w:numId w:val="13"/>
        </w:numPr>
        <w:autoSpaceDE w:val="0"/>
        <w:autoSpaceDN w:val="0"/>
        <w:adjustRightInd w:val="0"/>
        <w:spacing w:after="0" w:line="240" w:lineRule="auto"/>
        <w:jc w:val="both"/>
        <w:rPr>
          <w:rFonts w:ascii="Arial" w:hAnsi="Arial" w:cs="Arial"/>
          <w:sz w:val="24"/>
          <w:szCs w:val="24"/>
          <w:lang w:val="es-BO"/>
        </w:rPr>
      </w:pPr>
      <w:r w:rsidRPr="00526208">
        <w:rPr>
          <w:rFonts w:ascii="Arial" w:hAnsi="Arial" w:cs="Arial"/>
          <w:sz w:val="24"/>
          <w:szCs w:val="24"/>
          <w:lang w:val="es-BO"/>
        </w:rPr>
        <w:t xml:space="preserve">Crear las condiciones específicas para la óptima interacción entre el sector científico </w:t>
      </w:r>
      <w:r w:rsidR="002D390E" w:rsidRPr="00526208">
        <w:rPr>
          <w:rFonts w:ascii="Arial" w:hAnsi="Arial" w:cs="Arial"/>
          <w:sz w:val="24"/>
          <w:szCs w:val="24"/>
          <w:lang w:val="es-BO"/>
        </w:rPr>
        <w:t>tecnológico, el sector productivo y el sector social.</w:t>
      </w:r>
    </w:p>
    <w:p w:rsidR="00325384" w:rsidRPr="00526208" w:rsidRDefault="002D390E" w:rsidP="00526208">
      <w:pPr>
        <w:pStyle w:val="Prrafodelista"/>
        <w:numPr>
          <w:ilvl w:val="0"/>
          <w:numId w:val="13"/>
        </w:numPr>
        <w:autoSpaceDE w:val="0"/>
        <w:autoSpaceDN w:val="0"/>
        <w:adjustRightInd w:val="0"/>
        <w:spacing w:after="0" w:line="240" w:lineRule="auto"/>
        <w:jc w:val="both"/>
        <w:rPr>
          <w:rFonts w:ascii="Arial" w:hAnsi="Arial" w:cs="Arial"/>
          <w:sz w:val="24"/>
          <w:szCs w:val="24"/>
          <w:lang w:val="es-BO"/>
        </w:rPr>
      </w:pPr>
      <w:r w:rsidRPr="00526208">
        <w:rPr>
          <w:rFonts w:ascii="Arial" w:hAnsi="Arial" w:cs="Arial"/>
          <w:sz w:val="24"/>
          <w:szCs w:val="24"/>
          <w:lang w:val="es-BO"/>
        </w:rPr>
        <w:t>Promover la articulación entre los organismos del Estado, los sectores demandantes y ofertantes de conocimiento.</w:t>
      </w:r>
    </w:p>
    <w:p w:rsidR="00325384" w:rsidRPr="00526208" w:rsidRDefault="00A70D68" w:rsidP="00526208">
      <w:pPr>
        <w:pStyle w:val="Prrafodelista"/>
        <w:numPr>
          <w:ilvl w:val="0"/>
          <w:numId w:val="13"/>
        </w:numPr>
        <w:autoSpaceDE w:val="0"/>
        <w:autoSpaceDN w:val="0"/>
        <w:adjustRightInd w:val="0"/>
        <w:spacing w:after="0" w:line="240" w:lineRule="auto"/>
        <w:jc w:val="both"/>
        <w:rPr>
          <w:rFonts w:ascii="Arial" w:hAnsi="Arial" w:cs="Arial"/>
          <w:sz w:val="24"/>
          <w:szCs w:val="24"/>
          <w:lang w:val="es-BO"/>
        </w:rPr>
      </w:pPr>
      <w:r w:rsidRPr="00526208">
        <w:rPr>
          <w:rFonts w:ascii="Arial" w:hAnsi="Arial" w:cs="Arial"/>
          <w:sz w:val="24"/>
          <w:szCs w:val="24"/>
          <w:lang w:val="es-BO"/>
        </w:rPr>
        <w:t xml:space="preserve">Financiar </w:t>
      </w:r>
      <w:r w:rsidR="002D390E" w:rsidRPr="00526208">
        <w:rPr>
          <w:rFonts w:ascii="Arial" w:hAnsi="Arial" w:cs="Arial"/>
          <w:sz w:val="24"/>
          <w:szCs w:val="24"/>
          <w:lang w:val="es-BO"/>
        </w:rPr>
        <w:t>proyectos de investigación, innovación, formación de talento humano, creación y fortalecimiento de unidades de investigación, y otras; en el marco de una base financiera sostenible.</w:t>
      </w:r>
      <w:r w:rsidR="00325384" w:rsidRPr="00526208">
        <w:rPr>
          <w:rFonts w:ascii="Arial" w:hAnsi="Arial" w:cs="Arial"/>
          <w:sz w:val="24"/>
          <w:szCs w:val="24"/>
          <w:lang w:val="es-BO"/>
        </w:rPr>
        <w:t xml:space="preserve"> </w:t>
      </w:r>
    </w:p>
    <w:p w:rsidR="00655BD9" w:rsidRPr="00526208" w:rsidRDefault="00A70D68" w:rsidP="00526208">
      <w:pPr>
        <w:pStyle w:val="Prrafodelista"/>
        <w:numPr>
          <w:ilvl w:val="0"/>
          <w:numId w:val="6"/>
        </w:numPr>
        <w:spacing w:after="0" w:line="240" w:lineRule="auto"/>
        <w:jc w:val="both"/>
        <w:rPr>
          <w:rFonts w:ascii="Arial" w:hAnsi="Arial" w:cs="Arial"/>
          <w:sz w:val="24"/>
          <w:szCs w:val="24"/>
          <w:lang w:val="es-BO"/>
        </w:rPr>
      </w:pPr>
      <w:r w:rsidRPr="00526208">
        <w:rPr>
          <w:rFonts w:ascii="Arial" w:hAnsi="Arial" w:cs="Arial"/>
          <w:sz w:val="24"/>
          <w:szCs w:val="24"/>
          <w:lang w:val="es-BO"/>
        </w:rPr>
        <w:t>C</w:t>
      </w:r>
      <w:r w:rsidR="00655BD9" w:rsidRPr="00526208">
        <w:rPr>
          <w:rFonts w:ascii="Arial" w:hAnsi="Arial" w:cs="Arial"/>
          <w:sz w:val="24"/>
          <w:szCs w:val="24"/>
          <w:lang w:val="es-BO"/>
        </w:rPr>
        <w:t>analiza</w:t>
      </w:r>
      <w:r w:rsidRPr="00526208">
        <w:rPr>
          <w:rFonts w:ascii="Arial" w:hAnsi="Arial" w:cs="Arial"/>
          <w:sz w:val="24"/>
          <w:szCs w:val="24"/>
          <w:lang w:val="es-BO"/>
        </w:rPr>
        <w:t>r</w:t>
      </w:r>
      <w:r w:rsidR="00655BD9" w:rsidRPr="00526208">
        <w:rPr>
          <w:rFonts w:ascii="Arial" w:hAnsi="Arial" w:cs="Arial"/>
          <w:sz w:val="24"/>
          <w:szCs w:val="24"/>
          <w:lang w:val="es-BO"/>
        </w:rPr>
        <w:t xml:space="preserve"> financiamientos para la creación, consolidación, desarrollo y fortalecimiento de centros de investigación a través de la mejora de su infraestructura y equipamiento científico y tecnológico.</w:t>
      </w:r>
    </w:p>
    <w:p w:rsidR="00655BD9" w:rsidRPr="00526208" w:rsidRDefault="00655BD9" w:rsidP="00526208">
      <w:pPr>
        <w:pStyle w:val="Prrafodelista"/>
        <w:numPr>
          <w:ilvl w:val="0"/>
          <w:numId w:val="6"/>
        </w:numPr>
        <w:spacing w:after="0" w:line="240" w:lineRule="auto"/>
        <w:jc w:val="both"/>
        <w:rPr>
          <w:rFonts w:ascii="Arial" w:hAnsi="Arial" w:cs="Arial"/>
          <w:sz w:val="24"/>
          <w:szCs w:val="24"/>
          <w:lang w:val="es-BO"/>
        </w:rPr>
      </w:pPr>
      <w:r w:rsidRPr="00526208">
        <w:rPr>
          <w:rFonts w:ascii="Arial" w:hAnsi="Arial" w:cs="Arial"/>
          <w:sz w:val="24"/>
          <w:szCs w:val="24"/>
          <w:lang w:val="es-BO"/>
        </w:rPr>
        <w:t>Apoyar la divulgación y difusión de la ciencia, la tecnología y la innovación.</w:t>
      </w:r>
    </w:p>
    <w:p w:rsidR="00655BD9" w:rsidRPr="00526208" w:rsidRDefault="00655BD9" w:rsidP="00526208">
      <w:pPr>
        <w:pStyle w:val="Prrafodelista"/>
        <w:numPr>
          <w:ilvl w:val="0"/>
          <w:numId w:val="6"/>
        </w:numPr>
        <w:spacing w:after="0" w:line="240" w:lineRule="auto"/>
        <w:jc w:val="both"/>
        <w:rPr>
          <w:rFonts w:ascii="Arial" w:hAnsi="Arial" w:cs="Arial"/>
          <w:sz w:val="24"/>
          <w:szCs w:val="24"/>
          <w:lang w:val="es-BO"/>
        </w:rPr>
      </w:pPr>
      <w:r w:rsidRPr="00526208">
        <w:rPr>
          <w:rFonts w:ascii="Arial" w:hAnsi="Arial" w:cs="Arial"/>
          <w:sz w:val="24"/>
          <w:szCs w:val="24"/>
          <w:lang w:val="es-BO"/>
        </w:rPr>
        <w:t xml:space="preserve">Apoyar la creación, desarrollo o consolidación de </w:t>
      </w:r>
      <w:r w:rsidR="00A70D68" w:rsidRPr="00526208">
        <w:rPr>
          <w:rFonts w:ascii="Arial" w:hAnsi="Arial" w:cs="Arial"/>
          <w:sz w:val="24"/>
          <w:szCs w:val="24"/>
          <w:lang w:val="es-BO"/>
        </w:rPr>
        <w:t xml:space="preserve">redes </w:t>
      </w:r>
      <w:r w:rsidRPr="00526208">
        <w:rPr>
          <w:rFonts w:ascii="Arial" w:hAnsi="Arial" w:cs="Arial"/>
          <w:sz w:val="24"/>
          <w:szCs w:val="24"/>
          <w:lang w:val="es-BO"/>
        </w:rPr>
        <w:t>de investigadores, así como para otorgar estímulos y reconocimientos a investigadores y tecnólogos, en ambos casos asociados a la evaluación de sus actividades y resultados.</w:t>
      </w:r>
    </w:p>
    <w:p w:rsidR="00A70D68" w:rsidRPr="00526208" w:rsidRDefault="00A70D68" w:rsidP="00526208">
      <w:pPr>
        <w:spacing w:after="0" w:line="240" w:lineRule="auto"/>
        <w:ind w:left="360"/>
        <w:jc w:val="both"/>
        <w:rPr>
          <w:rFonts w:ascii="Arial" w:hAnsi="Arial" w:cs="Arial"/>
          <w:sz w:val="24"/>
          <w:szCs w:val="24"/>
          <w:lang w:val="es-BO"/>
        </w:rPr>
      </w:pPr>
    </w:p>
    <w:p w:rsidR="00D87D9F" w:rsidRPr="00526208" w:rsidRDefault="00D87D9F" w:rsidP="006F6142">
      <w:pPr>
        <w:pStyle w:val="Ttulo1"/>
        <w:ind w:left="284" w:hanging="284"/>
        <w:rPr>
          <w:lang w:val="es-BO"/>
        </w:rPr>
      </w:pPr>
    </w:p>
    <w:p w:rsidR="007F39A4" w:rsidRPr="00526208" w:rsidRDefault="00A70D68" w:rsidP="006F6142">
      <w:pPr>
        <w:pStyle w:val="Ttulo1"/>
        <w:ind w:left="284" w:hanging="284"/>
        <w:rPr>
          <w:lang w:val="es-BO"/>
        </w:rPr>
      </w:pPr>
      <w:bookmarkStart w:id="5" w:name="_Toc471887275"/>
      <w:r w:rsidRPr="00526208">
        <w:rPr>
          <w:lang w:val="es-BO"/>
        </w:rPr>
        <w:t xml:space="preserve">3. </w:t>
      </w:r>
      <w:r w:rsidR="00A75B92">
        <w:rPr>
          <w:lang w:val="es-BO"/>
        </w:rPr>
        <w:t xml:space="preserve">Constitución del </w:t>
      </w:r>
      <w:r w:rsidR="001F0347">
        <w:rPr>
          <w:lang w:val="es-BO"/>
        </w:rPr>
        <w:t>Fondo Nacional Universitario de Ciencia y Tecnología (FONUCyT)</w:t>
      </w:r>
      <w:bookmarkEnd w:id="5"/>
      <w:r w:rsidRPr="00526208">
        <w:rPr>
          <w:lang w:val="es-BO"/>
        </w:rPr>
        <w:t xml:space="preserve"> </w:t>
      </w:r>
    </w:p>
    <w:p w:rsidR="00E3200C" w:rsidRPr="00526208" w:rsidRDefault="00E3200C" w:rsidP="00526208">
      <w:pPr>
        <w:spacing w:after="0" w:line="240" w:lineRule="auto"/>
        <w:jc w:val="both"/>
        <w:rPr>
          <w:rFonts w:ascii="Arial" w:hAnsi="Arial" w:cs="Arial"/>
          <w:b/>
          <w:sz w:val="24"/>
          <w:szCs w:val="24"/>
          <w:lang w:val="es-BO"/>
        </w:rPr>
      </w:pPr>
    </w:p>
    <w:p w:rsidR="00A70D68" w:rsidRDefault="0009182E" w:rsidP="00526208">
      <w:pPr>
        <w:spacing w:after="0" w:line="240" w:lineRule="auto"/>
        <w:jc w:val="both"/>
        <w:rPr>
          <w:rFonts w:ascii="Arial" w:hAnsi="Arial" w:cs="Arial"/>
          <w:sz w:val="24"/>
          <w:szCs w:val="24"/>
          <w:lang w:val="es-BO"/>
        </w:rPr>
      </w:pPr>
      <w:r w:rsidRPr="00526208">
        <w:rPr>
          <w:rFonts w:ascii="Arial" w:hAnsi="Arial" w:cs="Arial"/>
          <w:sz w:val="24"/>
          <w:szCs w:val="24"/>
          <w:lang w:val="es-BO"/>
        </w:rPr>
        <w:t xml:space="preserve">El FONUCyT, fue creado </w:t>
      </w:r>
      <w:r w:rsidRPr="00526208">
        <w:rPr>
          <w:rFonts w:ascii="Arial" w:hAnsi="Arial" w:cs="Arial"/>
          <w:sz w:val="24"/>
          <w:szCs w:val="24"/>
          <w:lang w:val="es-ES_tradnl"/>
        </w:rPr>
        <w:t>en el XII Congreso Nacional de Universidade</w:t>
      </w:r>
      <w:r w:rsidR="00526208" w:rsidRPr="00526208">
        <w:rPr>
          <w:rFonts w:ascii="Arial" w:hAnsi="Arial" w:cs="Arial"/>
          <w:sz w:val="24"/>
          <w:szCs w:val="24"/>
          <w:lang w:val="es-ES_tradnl"/>
        </w:rPr>
        <w:t xml:space="preserve">s con </w:t>
      </w:r>
      <w:r w:rsidRPr="00526208">
        <w:rPr>
          <w:rFonts w:ascii="Arial" w:hAnsi="Arial" w:cs="Arial"/>
          <w:sz w:val="24"/>
          <w:szCs w:val="24"/>
          <w:lang w:val="es-ES_tradnl"/>
        </w:rPr>
        <w:t xml:space="preserve">Resolución N° 63/2014, específicamente en el Artículo 23 del Reglamento del Sistema Nacional Universitario de Ciencia y Tecnología, </w:t>
      </w:r>
      <w:r w:rsidR="00526208" w:rsidRPr="00526208">
        <w:rPr>
          <w:rFonts w:ascii="Arial" w:hAnsi="Arial" w:cs="Arial"/>
          <w:sz w:val="24"/>
          <w:szCs w:val="24"/>
          <w:lang w:val="es-ES_tradnl"/>
        </w:rPr>
        <w:t xml:space="preserve">es </w:t>
      </w:r>
      <w:r w:rsidR="00E57567">
        <w:rPr>
          <w:rFonts w:ascii="Arial" w:hAnsi="Arial" w:cs="Arial"/>
          <w:sz w:val="24"/>
          <w:szCs w:val="24"/>
          <w:lang w:val="es-ES_tradnl"/>
        </w:rPr>
        <w:t>con el que se</w:t>
      </w:r>
      <w:r w:rsidRPr="00526208">
        <w:rPr>
          <w:rFonts w:ascii="Arial" w:hAnsi="Arial" w:cs="Arial"/>
          <w:sz w:val="24"/>
          <w:szCs w:val="24"/>
          <w:lang w:val="es-ES_tradnl"/>
        </w:rPr>
        <w:t xml:space="preserve"> crea el </w:t>
      </w:r>
      <w:r w:rsidR="00E57567">
        <w:rPr>
          <w:rFonts w:ascii="Arial" w:hAnsi="Arial" w:cs="Arial"/>
          <w:sz w:val="24"/>
          <w:szCs w:val="24"/>
          <w:lang w:val="es-ES_tradnl"/>
        </w:rPr>
        <w:t>FONUCyT</w:t>
      </w:r>
      <w:r w:rsidRPr="00526208">
        <w:rPr>
          <w:rFonts w:ascii="Arial" w:hAnsi="Arial" w:cs="Arial"/>
          <w:sz w:val="24"/>
          <w:szCs w:val="24"/>
          <w:lang w:val="es-ES_tradnl"/>
        </w:rPr>
        <w:t xml:space="preserve">. Este Fondo </w:t>
      </w:r>
      <w:r w:rsidRPr="00526208">
        <w:rPr>
          <w:rFonts w:ascii="Arial" w:hAnsi="Arial" w:cs="Arial"/>
          <w:sz w:val="24"/>
          <w:szCs w:val="24"/>
          <w:lang w:val="es-BO"/>
        </w:rPr>
        <w:t>fue</w:t>
      </w:r>
      <w:r w:rsidR="00E3200C" w:rsidRPr="00526208">
        <w:rPr>
          <w:rFonts w:ascii="Arial" w:hAnsi="Arial" w:cs="Arial"/>
          <w:sz w:val="24"/>
          <w:szCs w:val="24"/>
          <w:lang w:val="es-BO"/>
        </w:rPr>
        <w:t xml:space="preserve"> creado </w:t>
      </w:r>
      <w:r w:rsidR="00A70D68" w:rsidRPr="00526208">
        <w:rPr>
          <w:rFonts w:ascii="Arial" w:hAnsi="Arial" w:cs="Arial"/>
          <w:sz w:val="24"/>
          <w:szCs w:val="24"/>
          <w:lang w:val="es-BO"/>
        </w:rPr>
        <w:t>para apoyar y dinamizar los proceso</w:t>
      </w:r>
      <w:r w:rsidR="00E57567">
        <w:rPr>
          <w:rFonts w:ascii="Arial" w:hAnsi="Arial" w:cs="Arial"/>
          <w:sz w:val="24"/>
          <w:szCs w:val="24"/>
          <w:lang w:val="es-BO"/>
        </w:rPr>
        <w:t>s de investigación e innovación</w:t>
      </w:r>
      <w:r w:rsidR="00A70D68" w:rsidRPr="00526208">
        <w:rPr>
          <w:rFonts w:ascii="Arial" w:hAnsi="Arial" w:cs="Arial"/>
          <w:sz w:val="24"/>
          <w:szCs w:val="24"/>
          <w:lang w:val="es-BO"/>
        </w:rPr>
        <w:t xml:space="preserve"> </w:t>
      </w:r>
      <w:r w:rsidR="00E3200C" w:rsidRPr="00526208">
        <w:rPr>
          <w:rFonts w:ascii="Arial" w:hAnsi="Arial" w:cs="Arial"/>
          <w:sz w:val="24"/>
          <w:szCs w:val="24"/>
          <w:lang w:val="es-BO"/>
        </w:rPr>
        <w:t xml:space="preserve">entre las entidades que generan </w:t>
      </w:r>
      <w:r w:rsidR="00207D02" w:rsidRPr="00526208">
        <w:rPr>
          <w:rFonts w:ascii="Arial" w:hAnsi="Arial" w:cs="Arial"/>
          <w:sz w:val="24"/>
          <w:szCs w:val="24"/>
          <w:lang w:val="es-BO"/>
        </w:rPr>
        <w:t>conocimiento y las entidades y/u</w:t>
      </w:r>
      <w:r w:rsidR="00E3200C" w:rsidRPr="00526208">
        <w:rPr>
          <w:rFonts w:ascii="Arial" w:hAnsi="Arial" w:cs="Arial"/>
          <w:sz w:val="24"/>
          <w:szCs w:val="24"/>
          <w:lang w:val="es-BO"/>
        </w:rPr>
        <w:t xml:space="preserve"> organizaciones que demandan conocimiento</w:t>
      </w:r>
      <w:r w:rsidR="00523756" w:rsidRPr="00526208">
        <w:rPr>
          <w:rFonts w:ascii="Arial" w:hAnsi="Arial" w:cs="Arial"/>
          <w:sz w:val="24"/>
          <w:szCs w:val="24"/>
          <w:lang w:val="es-BO"/>
        </w:rPr>
        <w:t xml:space="preserve"> del S</w:t>
      </w:r>
      <w:r w:rsidR="00A70D68" w:rsidRPr="00526208">
        <w:rPr>
          <w:rFonts w:ascii="Arial" w:hAnsi="Arial" w:cs="Arial"/>
          <w:sz w:val="24"/>
          <w:szCs w:val="24"/>
          <w:lang w:val="es-BO"/>
        </w:rPr>
        <w:t>UII</w:t>
      </w:r>
      <w:r w:rsidR="00E3200C" w:rsidRPr="00526208">
        <w:rPr>
          <w:rFonts w:ascii="Arial" w:hAnsi="Arial" w:cs="Arial"/>
          <w:sz w:val="24"/>
          <w:szCs w:val="24"/>
          <w:lang w:val="es-BO"/>
        </w:rPr>
        <w:t>.</w:t>
      </w:r>
    </w:p>
    <w:p w:rsidR="00E57567" w:rsidRDefault="00E57567" w:rsidP="00526208">
      <w:pPr>
        <w:spacing w:after="0" w:line="240" w:lineRule="auto"/>
        <w:jc w:val="both"/>
        <w:rPr>
          <w:rFonts w:ascii="Arial" w:hAnsi="Arial" w:cs="Arial"/>
          <w:sz w:val="24"/>
          <w:szCs w:val="24"/>
          <w:lang w:val="es-BO"/>
        </w:rPr>
      </w:pPr>
    </w:p>
    <w:p w:rsidR="00621496" w:rsidRDefault="00621496" w:rsidP="00526208">
      <w:pPr>
        <w:spacing w:after="0" w:line="240" w:lineRule="auto"/>
        <w:jc w:val="both"/>
        <w:rPr>
          <w:rFonts w:ascii="Arial" w:hAnsi="Arial" w:cs="Arial"/>
          <w:sz w:val="24"/>
          <w:szCs w:val="24"/>
          <w:lang w:val="es-BO"/>
        </w:rPr>
      </w:pPr>
    </w:p>
    <w:p w:rsidR="00E57567" w:rsidRPr="00526208" w:rsidRDefault="00E57567" w:rsidP="00526208">
      <w:pPr>
        <w:spacing w:after="0" w:line="240" w:lineRule="auto"/>
        <w:jc w:val="both"/>
        <w:rPr>
          <w:rFonts w:ascii="Arial" w:hAnsi="Arial" w:cs="Arial"/>
          <w:sz w:val="24"/>
          <w:szCs w:val="24"/>
          <w:lang w:val="es-BO"/>
        </w:rPr>
      </w:pPr>
      <w:r>
        <w:rPr>
          <w:rFonts w:ascii="Arial" w:hAnsi="Arial" w:cs="Arial"/>
          <w:sz w:val="24"/>
          <w:szCs w:val="24"/>
          <w:lang w:val="es-BO"/>
        </w:rPr>
        <w:t>Este Fondo fue creado con los siguientes:</w:t>
      </w:r>
    </w:p>
    <w:p w:rsidR="00526208" w:rsidRPr="00526208" w:rsidRDefault="00526208" w:rsidP="00526208">
      <w:pPr>
        <w:spacing w:after="0" w:line="240" w:lineRule="auto"/>
        <w:jc w:val="both"/>
        <w:rPr>
          <w:rFonts w:ascii="Arial" w:hAnsi="Arial" w:cs="Arial"/>
          <w:sz w:val="24"/>
          <w:szCs w:val="24"/>
          <w:lang w:val="es-BO"/>
        </w:rPr>
      </w:pPr>
    </w:p>
    <w:p w:rsidR="00125258" w:rsidRPr="00621496" w:rsidRDefault="00E57567" w:rsidP="00526208">
      <w:pPr>
        <w:numPr>
          <w:ilvl w:val="0"/>
          <w:numId w:val="9"/>
        </w:numPr>
        <w:spacing w:after="0" w:line="240" w:lineRule="auto"/>
        <w:jc w:val="both"/>
        <w:rPr>
          <w:rFonts w:ascii="Arial" w:hAnsi="Arial" w:cs="Arial"/>
          <w:sz w:val="24"/>
          <w:szCs w:val="24"/>
          <w:lang w:val="es-BO"/>
        </w:rPr>
      </w:pPr>
      <w:r>
        <w:rPr>
          <w:rFonts w:ascii="Arial" w:hAnsi="Arial" w:cs="Arial"/>
          <w:sz w:val="24"/>
          <w:szCs w:val="24"/>
          <w:lang w:val="es-ES_tradnl"/>
        </w:rPr>
        <w:t>Aportes de las u</w:t>
      </w:r>
      <w:r w:rsidR="0078407B" w:rsidRPr="00526208">
        <w:rPr>
          <w:rFonts w:ascii="Arial" w:hAnsi="Arial" w:cs="Arial"/>
          <w:sz w:val="24"/>
          <w:szCs w:val="24"/>
          <w:lang w:val="es-ES_tradnl"/>
        </w:rPr>
        <w:t>niversidades del S</w:t>
      </w:r>
      <w:r w:rsidR="00523756" w:rsidRPr="00526208">
        <w:rPr>
          <w:rFonts w:ascii="Arial" w:hAnsi="Arial" w:cs="Arial"/>
          <w:sz w:val="24"/>
          <w:szCs w:val="24"/>
          <w:lang w:val="es-ES_tradnl"/>
        </w:rPr>
        <w:t>UB</w:t>
      </w:r>
      <w:r w:rsidR="0078407B" w:rsidRPr="00526208">
        <w:rPr>
          <w:rFonts w:ascii="Arial" w:hAnsi="Arial" w:cs="Arial"/>
          <w:sz w:val="24"/>
          <w:szCs w:val="24"/>
          <w:lang w:val="es-ES_tradnl"/>
        </w:rPr>
        <w:t xml:space="preserve"> </w:t>
      </w:r>
      <w:r w:rsidR="00125258">
        <w:rPr>
          <w:rFonts w:ascii="Arial" w:hAnsi="Arial" w:cs="Arial"/>
          <w:sz w:val="24"/>
          <w:szCs w:val="24"/>
          <w:lang w:val="es-ES_tradnl"/>
        </w:rPr>
        <w:t>con el</w:t>
      </w:r>
      <w:r w:rsidR="00523756" w:rsidRPr="00526208">
        <w:rPr>
          <w:rFonts w:ascii="Arial" w:hAnsi="Arial" w:cs="Arial"/>
          <w:sz w:val="24"/>
          <w:szCs w:val="24"/>
          <w:lang w:val="es-ES_tradnl"/>
        </w:rPr>
        <w:t xml:space="preserve"> 1% de los recursos provenientes del Impuesto Directo a los Hidrocarburos (</w:t>
      </w:r>
      <w:r w:rsidR="0078407B" w:rsidRPr="00526208">
        <w:rPr>
          <w:rFonts w:ascii="Arial" w:hAnsi="Arial" w:cs="Arial"/>
          <w:sz w:val="24"/>
          <w:szCs w:val="24"/>
          <w:lang w:val="es-ES_tradnl"/>
        </w:rPr>
        <w:t>IDH</w:t>
      </w:r>
      <w:r w:rsidR="00523756" w:rsidRPr="00526208">
        <w:rPr>
          <w:rFonts w:ascii="Arial" w:hAnsi="Arial" w:cs="Arial"/>
          <w:sz w:val="24"/>
          <w:szCs w:val="24"/>
          <w:lang w:val="es-ES_tradnl"/>
        </w:rPr>
        <w:t>)</w:t>
      </w:r>
      <w:r w:rsidR="00125258">
        <w:rPr>
          <w:rFonts w:ascii="Arial" w:hAnsi="Arial" w:cs="Arial"/>
          <w:sz w:val="24"/>
          <w:szCs w:val="24"/>
          <w:lang w:val="es-ES_tradnl"/>
        </w:rPr>
        <w:t xml:space="preserve"> de manera anual</w:t>
      </w:r>
      <w:r w:rsidR="00523756" w:rsidRPr="00526208">
        <w:rPr>
          <w:rFonts w:ascii="Arial" w:hAnsi="Arial" w:cs="Arial"/>
          <w:sz w:val="24"/>
          <w:szCs w:val="24"/>
          <w:lang w:val="es-ES_tradnl"/>
        </w:rPr>
        <w:t>. Este aporte corresponde a cada u</w:t>
      </w:r>
      <w:r w:rsidR="00125258">
        <w:rPr>
          <w:rFonts w:ascii="Arial" w:hAnsi="Arial" w:cs="Arial"/>
          <w:sz w:val="24"/>
          <w:szCs w:val="24"/>
          <w:lang w:val="es-ES_tradnl"/>
        </w:rPr>
        <w:t>niversidad del SUB que recibe recursos del</w:t>
      </w:r>
      <w:r w:rsidR="00523756" w:rsidRPr="00526208">
        <w:rPr>
          <w:rFonts w:ascii="Arial" w:hAnsi="Arial" w:cs="Arial"/>
          <w:sz w:val="24"/>
          <w:szCs w:val="24"/>
          <w:lang w:val="es-ES_tradnl"/>
        </w:rPr>
        <w:t xml:space="preserve"> IDH</w:t>
      </w:r>
      <w:r w:rsidR="00EE3ED9">
        <w:rPr>
          <w:rFonts w:ascii="Arial" w:hAnsi="Arial" w:cs="Arial"/>
          <w:sz w:val="24"/>
          <w:szCs w:val="24"/>
          <w:lang w:val="es-ES_tradnl"/>
        </w:rPr>
        <w:t>,</w:t>
      </w:r>
      <w:r w:rsidR="00523756" w:rsidRPr="00526208">
        <w:rPr>
          <w:rFonts w:ascii="Arial" w:hAnsi="Arial" w:cs="Arial"/>
          <w:sz w:val="24"/>
          <w:szCs w:val="24"/>
          <w:lang w:val="es-ES_tradnl"/>
        </w:rPr>
        <w:t xml:space="preserve"> </w:t>
      </w:r>
      <w:r w:rsidR="00125258">
        <w:rPr>
          <w:rFonts w:ascii="Arial" w:hAnsi="Arial" w:cs="Arial"/>
          <w:sz w:val="24"/>
          <w:szCs w:val="24"/>
          <w:lang w:val="es-ES_tradnl"/>
        </w:rPr>
        <w:t>según lo dispuesto en D.S. N° 28421 de 21 de octubre de 2007, el D.S. N° 29322 de 24 de octubre de 2007 y la Ley N° 767 de 15 de diciembre de 2015.</w:t>
      </w:r>
    </w:p>
    <w:p w:rsidR="00621496" w:rsidRPr="00125258" w:rsidRDefault="00621496" w:rsidP="00621496">
      <w:pPr>
        <w:spacing w:after="0" w:line="240" w:lineRule="auto"/>
        <w:ind w:left="720"/>
        <w:jc w:val="both"/>
        <w:rPr>
          <w:rFonts w:ascii="Arial" w:hAnsi="Arial" w:cs="Arial"/>
          <w:sz w:val="24"/>
          <w:szCs w:val="24"/>
          <w:lang w:val="es-BO"/>
        </w:rPr>
      </w:pPr>
    </w:p>
    <w:p w:rsidR="00216707" w:rsidRPr="00621496" w:rsidRDefault="00125258" w:rsidP="00526208">
      <w:pPr>
        <w:numPr>
          <w:ilvl w:val="0"/>
          <w:numId w:val="9"/>
        </w:numPr>
        <w:spacing w:after="0" w:line="240" w:lineRule="auto"/>
        <w:jc w:val="both"/>
        <w:rPr>
          <w:rFonts w:ascii="Arial" w:hAnsi="Arial" w:cs="Arial"/>
          <w:sz w:val="24"/>
          <w:szCs w:val="24"/>
          <w:lang w:val="es-BO"/>
        </w:rPr>
      </w:pPr>
      <w:r>
        <w:rPr>
          <w:rFonts w:ascii="Arial" w:hAnsi="Arial" w:cs="Arial"/>
          <w:sz w:val="24"/>
          <w:szCs w:val="24"/>
          <w:lang w:val="es-BO"/>
        </w:rPr>
        <w:t xml:space="preserve">Aportes equivalentes </w:t>
      </w:r>
      <w:r w:rsidR="00BE620D">
        <w:rPr>
          <w:rFonts w:ascii="Arial" w:hAnsi="Arial" w:cs="Arial"/>
          <w:sz w:val="24"/>
          <w:szCs w:val="24"/>
          <w:lang w:val="es-BO"/>
        </w:rPr>
        <w:t xml:space="preserve">al de las universidades públicas </w:t>
      </w:r>
      <w:r>
        <w:rPr>
          <w:rFonts w:ascii="Arial" w:hAnsi="Arial" w:cs="Arial"/>
          <w:sz w:val="24"/>
          <w:szCs w:val="24"/>
          <w:lang w:val="es-BO"/>
        </w:rPr>
        <w:t>para</w:t>
      </w:r>
      <w:r w:rsidR="00BE620D">
        <w:rPr>
          <w:rFonts w:ascii="Arial" w:hAnsi="Arial" w:cs="Arial"/>
          <w:sz w:val="24"/>
          <w:szCs w:val="24"/>
          <w:lang w:val="es-ES_tradnl"/>
        </w:rPr>
        <w:t xml:space="preserve"> las u</w:t>
      </w:r>
      <w:r w:rsidR="0078407B" w:rsidRPr="00526208">
        <w:rPr>
          <w:rFonts w:ascii="Arial" w:hAnsi="Arial" w:cs="Arial"/>
          <w:sz w:val="24"/>
          <w:szCs w:val="24"/>
          <w:lang w:val="es-ES_tradnl"/>
        </w:rPr>
        <w:t xml:space="preserve">niversidades de Régimen Especial </w:t>
      </w:r>
      <w:r w:rsidR="00523756" w:rsidRPr="00526208">
        <w:rPr>
          <w:rFonts w:ascii="Arial" w:hAnsi="Arial" w:cs="Arial"/>
          <w:sz w:val="24"/>
          <w:szCs w:val="24"/>
          <w:lang w:val="es-ES_tradnl"/>
        </w:rPr>
        <w:t>que deseen participar del FON</w:t>
      </w:r>
      <w:r w:rsidR="00BE620D">
        <w:rPr>
          <w:rFonts w:ascii="Arial" w:hAnsi="Arial" w:cs="Arial"/>
          <w:sz w:val="24"/>
          <w:szCs w:val="24"/>
          <w:lang w:val="es-ES_tradnl"/>
        </w:rPr>
        <w:t>U</w:t>
      </w:r>
      <w:r w:rsidR="00523756" w:rsidRPr="00526208">
        <w:rPr>
          <w:rFonts w:ascii="Arial" w:hAnsi="Arial" w:cs="Arial"/>
          <w:sz w:val="24"/>
          <w:szCs w:val="24"/>
          <w:lang w:val="es-ES_tradnl"/>
        </w:rPr>
        <w:t>CyT</w:t>
      </w:r>
      <w:r w:rsidR="0078407B" w:rsidRPr="00526208">
        <w:rPr>
          <w:rFonts w:ascii="Arial" w:hAnsi="Arial" w:cs="Arial"/>
          <w:sz w:val="24"/>
          <w:szCs w:val="24"/>
          <w:lang w:val="es-ES_tradnl"/>
        </w:rPr>
        <w:t>.</w:t>
      </w:r>
    </w:p>
    <w:p w:rsidR="00621496" w:rsidRPr="00526208" w:rsidRDefault="00621496" w:rsidP="00621496">
      <w:pPr>
        <w:spacing w:after="0" w:line="240" w:lineRule="auto"/>
        <w:jc w:val="both"/>
        <w:rPr>
          <w:rFonts w:ascii="Arial" w:hAnsi="Arial" w:cs="Arial"/>
          <w:sz w:val="24"/>
          <w:szCs w:val="24"/>
          <w:lang w:val="es-BO"/>
        </w:rPr>
      </w:pPr>
    </w:p>
    <w:p w:rsidR="00445FF9" w:rsidRPr="00526208" w:rsidRDefault="00445FF9" w:rsidP="00526208">
      <w:pPr>
        <w:numPr>
          <w:ilvl w:val="0"/>
          <w:numId w:val="9"/>
        </w:numPr>
        <w:spacing w:after="0" w:line="240" w:lineRule="auto"/>
        <w:jc w:val="both"/>
        <w:rPr>
          <w:rFonts w:ascii="Arial" w:hAnsi="Arial" w:cs="Arial"/>
          <w:sz w:val="24"/>
          <w:szCs w:val="24"/>
          <w:lang w:val="es-BO"/>
        </w:rPr>
      </w:pPr>
      <w:r w:rsidRPr="00526208">
        <w:rPr>
          <w:rFonts w:ascii="Arial" w:hAnsi="Arial" w:cs="Arial"/>
          <w:sz w:val="24"/>
          <w:szCs w:val="24"/>
          <w:lang w:val="es-ES_tradnl"/>
        </w:rPr>
        <w:t>Otros recursos que provienen de otras fuentes de financiamiento en</w:t>
      </w:r>
      <w:r w:rsidR="00BE620D">
        <w:rPr>
          <w:rFonts w:ascii="Arial" w:hAnsi="Arial" w:cs="Arial"/>
          <w:sz w:val="24"/>
          <w:szCs w:val="24"/>
          <w:lang w:val="es-ES_tradnl"/>
        </w:rPr>
        <w:t xml:space="preserve"> el marco de las normas y leyes vigentes.</w:t>
      </w:r>
    </w:p>
    <w:p w:rsidR="00621496" w:rsidRPr="00BE620D" w:rsidRDefault="00621496" w:rsidP="00526208">
      <w:pPr>
        <w:spacing w:after="0" w:line="240" w:lineRule="auto"/>
        <w:jc w:val="both"/>
        <w:rPr>
          <w:rFonts w:ascii="Arial" w:hAnsi="Arial" w:cs="Arial"/>
          <w:sz w:val="24"/>
          <w:szCs w:val="24"/>
          <w:lang w:val="es-BO"/>
        </w:rPr>
      </w:pPr>
    </w:p>
    <w:p w:rsidR="00BE620D" w:rsidRDefault="00D87D9F" w:rsidP="00BE620D">
      <w:pPr>
        <w:spacing w:after="0" w:line="240" w:lineRule="auto"/>
        <w:jc w:val="both"/>
        <w:rPr>
          <w:rFonts w:ascii="Arial" w:hAnsi="Arial" w:cs="Arial"/>
          <w:sz w:val="24"/>
          <w:szCs w:val="24"/>
          <w:lang w:val="es-ES_tradnl"/>
        </w:rPr>
      </w:pPr>
      <w:r w:rsidRPr="00526208">
        <w:rPr>
          <w:rFonts w:ascii="Arial" w:hAnsi="Arial" w:cs="Arial"/>
          <w:sz w:val="24"/>
          <w:szCs w:val="24"/>
          <w:lang w:val="es-ES_tradnl"/>
        </w:rPr>
        <w:lastRenderedPageBreak/>
        <w:t>Si bien este Fondo en sus inicios fue creado con un aporte de</w:t>
      </w:r>
      <w:r w:rsidR="00BE620D">
        <w:rPr>
          <w:rFonts w:ascii="Arial" w:hAnsi="Arial" w:cs="Arial"/>
          <w:sz w:val="24"/>
          <w:szCs w:val="24"/>
          <w:lang w:val="es-ES_tradnl"/>
        </w:rPr>
        <w:t xml:space="preserve">l IDH, es evidente que a la fecha no </w:t>
      </w:r>
      <w:r w:rsidR="001A05A8">
        <w:rPr>
          <w:rFonts w:ascii="Arial" w:hAnsi="Arial" w:cs="Arial"/>
          <w:sz w:val="24"/>
          <w:szCs w:val="24"/>
          <w:lang w:val="es-ES_tradnl"/>
        </w:rPr>
        <w:t xml:space="preserve">se </w:t>
      </w:r>
      <w:r w:rsidR="00BE620D">
        <w:rPr>
          <w:rFonts w:ascii="Arial" w:hAnsi="Arial" w:cs="Arial"/>
          <w:sz w:val="24"/>
          <w:szCs w:val="24"/>
          <w:lang w:val="es-ES_tradnl"/>
        </w:rPr>
        <w:t>consolid</w:t>
      </w:r>
      <w:r w:rsidR="001A05A8">
        <w:rPr>
          <w:rFonts w:ascii="Arial" w:hAnsi="Arial" w:cs="Arial"/>
          <w:sz w:val="24"/>
          <w:szCs w:val="24"/>
          <w:lang w:val="es-ES_tradnl"/>
        </w:rPr>
        <w:t xml:space="preserve">o </w:t>
      </w:r>
      <w:r w:rsidR="00BE620D">
        <w:rPr>
          <w:rFonts w:ascii="Arial" w:hAnsi="Arial" w:cs="Arial"/>
          <w:sz w:val="24"/>
          <w:szCs w:val="24"/>
          <w:lang w:val="es-ES_tradnl"/>
        </w:rPr>
        <w:t>aún, esto debido a la falta de una normativa que debe ser emitida el Gobierno Nacional, es decir, que el gobierno nacional debe autorizar la transferencia del IDH a la unidad que administrará estos recursos en calidad de gasto corriente. La propuesta del proyecto de decreto supremo que viabilizará la consolidación del Fondo,</w:t>
      </w:r>
      <w:r w:rsidR="00EE3ED9">
        <w:rPr>
          <w:rFonts w:ascii="Arial" w:hAnsi="Arial" w:cs="Arial"/>
          <w:sz w:val="24"/>
          <w:szCs w:val="24"/>
          <w:lang w:val="es-ES_tradnl"/>
        </w:rPr>
        <w:t xml:space="preserve"> así como la creación de la Agencia Nacional Universitaria de Ciencia, Tecnología e Innovación (ANUCTI), </w:t>
      </w:r>
      <w:r w:rsidR="00BE620D">
        <w:rPr>
          <w:rFonts w:ascii="Arial" w:hAnsi="Arial" w:cs="Arial"/>
          <w:sz w:val="24"/>
          <w:szCs w:val="24"/>
          <w:lang w:val="es-ES_tradnl"/>
        </w:rPr>
        <w:t>se presenta en el Anexo 1 del presente documento.</w:t>
      </w:r>
    </w:p>
    <w:p w:rsidR="00BE620D" w:rsidRDefault="00BE620D" w:rsidP="00526208">
      <w:pPr>
        <w:spacing w:after="0" w:line="240" w:lineRule="auto"/>
        <w:jc w:val="both"/>
        <w:rPr>
          <w:rFonts w:ascii="Arial" w:hAnsi="Arial" w:cs="Arial"/>
          <w:sz w:val="24"/>
          <w:szCs w:val="24"/>
          <w:lang w:val="es-ES_tradnl"/>
        </w:rPr>
      </w:pPr>
    </w:p>
    <w:p w:rsidR="00AE49A9" w:rsidRPr="00526208" w:rsidRDefault="00EE3ED9" w:rsidP="00526208">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Este fondo que será administrado por la </w:t>
      </w:r>
      <w:r w:rsidR="00BE620D">
        <w:rPr>
          <w:rFonts w:ascii="Arial" w:hAnsi="Arial" w:cs="Arial"/>
          <w:sz w:val="24"/>
          <w:szCs w:val="24"/>
          <w:lang w:val="es-ES_tradnl"/>
        </w:rPr>
        <w:t>Agencia Nacional Universitaria de</w:t>
      </w:r>
      <w:r>
        <w:rPr>
          <w:rFonts w:ascii="Arial" w:hAnsi="Arial" w:cs="Arial"/>
          <w:sz w:val="24"/>
          <w:szCs w:val="24"/>
          <w:lang w:val="es-ES_tradnl"/>
        </w:rPr>
        <w:t xml:space="preserve"> Ciencia, Tecnología e Innovación (ANUCTI), debe permitir al SUB </w:t>
      </w:r>
      <w:r w:rsidR="00D87D9F" w:rsidRPr="00526208">
        <w:rPr>
          <w:rFonts w:ascii="Arial" w:hAnsi="Arial" w:cs="Arial"/>
          <w:sz w:val="24"/>
          <w:szCs w:val="24"/>
          <w:lang w:val="es-ES_tradnl"/>
        </w:rPr>
        <w:t>dinamizar las actividades de investigación</w:t>
      </w:r>
      <w:r>
        <w:rPr>
          <w:rFonts w:ascii="Arial" w:hAnsi="Arial" w:cs="Arial"/>
          <w:sz w:val="24"/>
          <w:szCs w:val="24"/>
          <w:lang w:val="es-ES_tradnl"/>
        </w:rPr>
        <w:t xml:space="preserve"> e innovación en las diferentes universidades, trasc</w:t>
      </w:r>
      <w:r w:rsidR="00D87D9F" w:rsidRPr="00526208">
        <w:rPr>
          <w:rFonts w:ascii="Arial" w:hAnsi="Arial" w:cs="Arial"/>
          <w:sz w:val="24"/>
          <w:szCs w:val="24"/>
          <w:lang w:val="es-ES_tradnl"/>
        </w:rPr>
        <w:t>end</w:t>
      </w:r>
      <w:r>
        <w:rPr>
          <w:rFonts w:ascii="Arial" w:hAnsi="Arial" w:cs="Arial"/>
          <w:sz w:val="24"/>
          <w:szCs w:val="24"/>
          <w:lang w:val="es-ES_tradnl"/>
        </w:rPr>
        <w:t xml:space="preserve">iendo </w:t>
      </w:r>
      <w:r w:rsidR="00D87D9F" w:rsidRPr="00526208">
        <w:rPr>
          <w:rFonts w:ascii="Arial" w:hAnsi="Arial" w:cs="Arial"/>
          <w:sz w:val="24"/>
          <w:szCs w:val="24"/>
          <w:lang w:val="es-ES_tradnl"/>
        </w:rPr>
        <w:t>los muros o fronteras del SUB</w:t>
      </w:r>
      <w:r>
        <w:rPr>
          <w:rFonts w:ascii="Arial" w:hAnsi="Arial" w:cs="Arial"/>
          <w:sz w:val="24"/>
          <w:szCs w:val="24"/>
          <w:lang w:val="es-ES_tradnl"/>
        </w:rPr>
        <w:t xml:space="preserve"> para articular estos procesos con los otros actores del SUII (sector productivo, sociedad civil y gobierno)</w:t>
      </w:r>
      <w:r w:rsidR="00D87D9F" w:rsidRPr="00526208">
        <w:rPr>
          <w:rFonts w:ascii="Arial" w:hAnsi="Arial" w:cs="Arial"/>
          <w:sz w:val="24"/>
          <w:szCs w:val="24"/>
          <w:lang w:val="es-ES_tradnl"/>
        </w:rPr>
        <w:t xml:space="preserve">, </w:t>
      </w:r>
      <w:r>
        <w:rPr>
          <w:rFonts w:ascii="Arial" w:hAnsi="Arial" w:cs="Arial"/>
          <w:sz w:val="24"/>
          <w:szCs w:val="24"/>
          <w:lang w:val="es-ES_tradnl"/>
        </w:rPr>
        <w:t>y de esta manera generar</w:t>
      </w:r>
      <w:r w:rsidR="00D87D9F" w:rsidRPr="00526208">
        <w:rPr>
          <w:rFonts w:ascii="Arial" w:hAnsi="Arial" w:cs="Arial"/>
          <w:sz w:val="24"/>
          <w:szCs w:val="24"/>
          <w:lang w:val="es-ES_tradnl"/>
        </w:rPr>
        <w:t xml:space="preserve"> un mayor impacto en el desarrollo regional y nacional, posibilitando un cambio de modelo de desarrollo basado </w:t>
      </w:r>
      <w:r w:rsidR="00AE49A9" w:rsidRPr="00526208">
        <w:rPr>
          <w:rFonts w:ascii="Arial" w:hAnsi="Arial" w:cs="Arial"/>
          <w:sz w:val="24"/>
          <w:szCs w:val="24"/>
          <w:lang w:val="es-ES_tradnl"/>
        </w:rPr>
        <w:t xml:space="preserve">en la economía de </w:t>
      </w:r>
      <w:r w:rsidR="00D87D9F" w:rsidRPr="00526208">
        <w:rPr>
          <w:rFonts w:ascii="Arial" w:hAnsi="Arial" w:cs="Arial"/>
          <w:sz w:val="24"/>
          <w:szCs w:val="24"/>
          <w:lang w:val="es-ES_tradnl"/>
        </w:rPr>
        <w:t>la explotación de com</w:t>
      </w:r>
      <w:r w:rsidR="00AE49A9" w:rsidRPr="00526208">
        <w:rPr>
          <w:rFonts w:ascii="Arial" w:hAnsi="Arial" w:cs="Arial"/>
          <w:sz w:val="24"/>
          <w:szCs w:val="24"/>
          <w:lang w:val="es-ES_tradnl"/>
        </w:rPr>
        <w:t>m</w:t>
      </w:r>
      <w:r w:rsidR="00D87D9F" w:rsidRPr="00526208">
        <w:rPr>
          <w:rFonts w:ascii="Arial" w:hAnsi="Arial" w:cs="Arial"/>
          <w:sz w:val="24"/>
          <w:szCs w:val="24"/>
          <w:lang w:val="es-ES_tradnl"/>
        </w:rPr>
        <w:t>oditie</w:t>
      </w:r>
      <w:r w:rsidR="00AE49A9" w:rsidRPr="00526208">
        <w:rPr>
          <w:rFonts w:ascii="Arial" w:hAnsi="Arial" w:cs="Arial"/>
          <w:sz w:val="24"/>
          <w:szCs w:val="24"/>
          <w:lang w:val="es-ES_tradnl"/>
        </w:rPr>
        <w:t>s</w:t>
      </w:r>
      <w:r w:rsidR="00D87D9F" w:rsidRPr="00526208">
        <w:rPr>
          <w:rFonts w:ascii="Arial" w:hAnsi="Arial" w:cs="Arial"/>
          <w:sz w:val="24"/>
          <w:szCs w:val="24"/>
          <w:lang w:val="es-ES_tradnl"/>
        </w:rPr>
        <w:t xml:space="preserve"> </w:t>
      </w:r>
      <w:r w:rsidR="00AE49A9" w:rsidRPr="00526208">
        <w:rPr>
          <w:rFonts w:ascii="Arial" w:hAnsi="Arial" w:cs="Arial"/>
          <w:sz w:val="24"/>
          <w:szCs w:val="24"/>
          <w:lang w:val="es-ES_tradnl"/>
        </w:rPr>
        <w:t>a otro basado en la economía del conocimiento.</w:t>
      </w:r>
    </w:p>
    <w:p w:rsidR="00621496" w:rsidRDefault="00621496" w:rsidP="00526208">
      <w:pPr>
        <w:spacing w:after="0" w:line="240" w:lineRule="auto"/>
        <w:jc w:val="both"/>
        <w:rPr>
          <w:rFonts w:ascii="Arial" w:hAnsi="Arial" w:cs="Arial"/>
          <w:sz w:val="24"/>
          <w:szCs w:val="24"/>
          <w:lang w:val="es-BO"/>
        </w:rPr>
      </w:pPr>
    </w:p>
    <w:p w:rsidR="00EE3ED9" w:rsidRDefault="00EE3ED9" w:rsidP="00526208">
      <w:pPr>
        <w:spacing w:after="0" w:line="240" w:lineRule="auto"/>
        <w:jc w:val="both"/>
        <w:rPr>
          <w:rFonts w:ascii="Arial" w:hAnsi="Arial" w:cs="Arial"/>
          <w:sz w:val="24"/>
          <w:szCs w:val="24"/>
          <w:lang w:val="es-BO"/>
        </w:rPr>
      </w:pPr>
      <w:r>
        <w:rPr>
          <w:rFonts w:ascii="Arial" w:hAnsi="Arial" w:cs="Arial"/>
          <w:sz w:val="24"/>
          <w:szCs w:val="24"/>
          <w:lang w:val="es-BO"/>
        </w:rPr>
        <w:t>En la Figura 1, se presenta la forma de articulación entre el FONUCyT y los Sistemas Regionales de Innovación.</w:t>
      </w:r>
    </w:p>
    <w:p w:rsidR="001F0347" w:rsidRDefault="001F0347" w:rsidP="001F0347">
      <w:pPr>
        <w:spacing w:after="0" w:line="240" w:lineRule="auto"/>
        <w:jc w:val="center"/>
        <w:rPr>
          <w:rFonts w:ascii="Arial" w:hAnsi="Arial" w:cs="Arial"/>
          <w:b/>
          <w:sz w:val="24"/>
          <w:szCs w:val="24"/>
          <w:lang w:val="es-BO"/>
        </w:rPr>
      </w:pPr>
    </w:p>
    <w:p w:rsidR="003A2620" w:rsidRPr="00526208" w:rsidRDefault="003A2620" w:rsidP="001F0347">
      <w:pPr>
        <w:spacing w:after="0" w:line="240" w:lineRule="auto"/>
        <w:jc w:val="center"/>
        <w:rPr>
          <w:rFonts w:ascii="Arial" w:hAnsi="Arial" w:cs="Arial"/>
          <w:b/>
          <w:sz w:val="24"/>
          <w:szCs w:val="24"/>
          <w:lang w:val="es-BO"/>
        </w:rPr>
      </w:pPr>
      <w:r w:rsidRPr="00526208">
        <w:rPr>
          <w:rFonts w:ascii="Arial" w:hAnsi="Arial" w:cs="Arial"/>
          <w:b/>
          <w:sz w:val="24"/>
          <w:szCs w:val="24"/>
          <w:lang w:val="es-BO"/>
        </w:rPr>
        <w:t>Figura 1</w:t>
      </w:r>
    </w:p>
    <w:p w:rsidR="003A2620" w:rsidRPr="00526208" w:rsidRDefault="003A2620" w:rsidP="001F0347">
      <w:pPr>
        <w:spacing w:after="0" w:line="240" w:lineRule="auto"/>
        <w:jc w:val="center"/>
        <w:rPr>
          <w:rFonts w:ascii="Arial" w:hAnsi="Arial" w:cs="Arial"/>
          <w:b/>
          <w:sz w:val="24"/>
          <w:szCs w:val="24"/>
          <w:lang w:val="es-BO"/>
        </w:rPr>
      </w:pPr>
      <w:r w:rsidRPr="00526208">
        <w:rPr>
          <w:rFonts w:ascii="Arial" w:hAnsi="Arial" w:cs="Arial"/>
          <w:b/>
          <w:sz w:val="24"/>
          <w:szCs w:val="24"/>
          <w:lang w:val="es-BO"/>
        </w:rPr>
        <w:t xml:space="preserve">Articulación del Fondo Nacional </w:t>
      </w:r>
      <w:r w:rsidR="001F0347">
        <w:rPr>
          <w:rFonts w:ascii="Arial" w:hAnsi="Arial" w:cs="Arial"/>
          <w:b/>
          <w:sz w:val="24"/>
          <w:szCs w:val="24"/>
          <w:lang w:val="es-BO"/>
        </w:rPr>
        <w:t>Universitario de Ciencia y Tecnología (FONUCy</w:t>
      </w:r>
      <w:r w:rsidRPr="00526208">
        <w:rPr>
          <w:rFonts w:ascii="Arial" w:hAnsi="Arial" w:cs="Arial"/>
          <w:b/>
          <w:sz w:val="24"/>
          <w:szCs w:val="24"/>
          <w:lang w:val="es-BO"/>
        </w:rPr>
        <w:t>T)</w:t>
      </w:r>
    </w:p>
    <w:p w:rsidR="00AE49A9" w:rsidRDefault="00621496" w:rsidP="00526208">
      <w:pPr>
        <w:spacing w:after="0" w:line="240" w:lineRule="auto"/>
        <w:jc w:val="center"/>
        <w:rPr>
          <w:rFonts w:ascii="Arial" w:hAnsi="Arial" w:cs="Arial"/>
          <w:b/>
          <w:sz w:val="24"/>
          <w:szCs w:val="24"/>
          <w:lang w:val="es-BO"/>
        </w:rPr>
      </w:pPr>
      <w:r>
        <w:rPr>
          <w:rFonts w:ascii="Arial" w:hAnsi="Arial" w:cs="Arial"/>
          <w:b/>
          <w:noProof/>
          <w:sz w:val="24"/>
          <w:szCs w:val="24"/>
          <w:lang w:val="es-ES" w:eastAsia="es-ES"/>
        </w:rPr>
        <w:drawing>
          <wp:inline distT="0" distB="0" distL="0" distR="0" wp14:anchorId="41B8462B">
            <wp:extent cx="5114925" cy="434645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4729" cy="4380280"/>
                    </a:xfrm>
                    <a:prstGeom prst="rect">
                      <a:avLst/>
                    </a:prstGeom>
                    <a:noFill/>
                  </pic:spPr>
                </pic:pic>
              </a:graphicData>
            </a:graphic>
          </wp:inline>
        </w:drawing>
      </w:r>
    </w:p>
    <w:p w:rsidR="00F54AFB" w:rsidRPr="00621496" w:rsidRDefault="003A2620" w:rsidP="00526208">
      <w:pPr>
        <w:spacing w:after="0" w:line="240" w:lineRule="auto"/>
        <w:jc w:val="both"/>
        <w:rPr>
          <w:rFonts w:ascii="Arial" w:hAnsi="Arial" w:cs="Arial"/>
          <w:lang w:val="es-BO"/>
        </w:rPr>
      </w:pPr>
      <w:r w:rsidRPr="00621496">
        <w:rPr>
          <w:rFonts w:ascii="Arial" w:hAnsi="Arial" w:cs="Arial"/>
          <w:lang w:val="es-BO"/>
        </w:rPr>
        <w:tab/>
      </w:r>
      <w:r w:rsidR="00621496">
        <w:rPr>
          <w:rFonts w:ascii="Arial" w:hAnsi="Arial" w:cs="Arial"/>
          <w:lang w:val="es-BO"/>
        </w:rPr>
        <w:tab/>
      </w:r>
      <w:r w:rsidRPr="00621496">
        <w:rPr>
          <w:rFonts w:ascii="Arial" w:hAnsi="Arial" w:cs="Arial"/>
          <w:lang w:val="es-BO"/>
        </w:rPr>
        <w:t>Fuente: Elaboración propia</w:t>
      </w:r>
    </w:p>
    <w:p w:rsidR="001A05A8" w:rsidRPr="00526208" w:rsidRDefault="001A05A8" w:rsidP="001A05A8">
      <w:pPr>
        <w:autoSpaceDE w:val="0"/>
        <w:autoSpaceDN w:val="0"/>
        <w:adjustRightInd w:val="0"/>
        <w:spacing w:after="0" w:line="240" w:lineRule="auto"/>
        <w:jc w:val="both"/>
        <w:rPr>
          <w:rFonts w:ascii="Arial" w:hAnsi="Arial" w:cs="Arial"/>
          <w:sz w:val="24"/>
          <w:szCs w:val="24"/>
          <w:lang w:val="es-BO"/>
        </w:rPr>
      </w:pPr>
      <w:r w:rsidRPr="00526208">
        <w:rPr>
          <w:rFonts w:ascii="Arial" w:hAnsi="Arial" w:cs="Arial"/>
          <w:sz w:val="24"/>
          <w:szCs w:val="24"/>
          <w:lang w:val="es-BO"/>
        </w:rPr>
        <w:t>Los Sistemas Regionales de Innovación, deberán estar en cada departamento y conformados según los actores involucrados para generar accion</w:t>
      </w:r>
      <w:r>
        <w:rPr>
          <w:rFonts w:ascii="Arial" w:hAnsi="Arial" w:cs="Arial"/>
          <w:sz w:val="24"/>
          <w:szCs w:val="24"/>
          <w:lang w:val="es-BO"/>
        </w:rPr>
        <w:t xml:space="preserve">es de transformación </w:t>
      </w:r>
      <w:r>
        <w:rPr>
          <w:rFonts w:ascii="Arial" w:hAnsi="Arial" w:cs="Arial"/>
          <w:sz w:val="24"/>
          <w:szCs w:val="24"/>
          <w:lang w:val="es-BO"/>
        </w:rPr>
        <w:lastRenderedPageBreak/>
        <w:t>productiva. E</w:t>
      </w:r>
      <w:r w:rsidRPr="00526208">
        <w:rPr>
          <w:rFonts w:ascii="Arial" w:hAnsi="Arial" w:cs="Arial"/>
          <w:sz w:val="24"/>
          <w:szCs w:val="24"/>
          <w:lang w:val="es-BO"/>
        </w:rPr>
        <w:t>sta instancia tiene la tarea principal de transmitir las</w:t>
      </w:r>
      <w:r>
        <w:rPr>
          <w:rFonts w:ascii="Arial" w:hAnsi="Arial" w:cs="Arial"/>
          <w:sz w:val="24"/>
          <w:szCs w:val="24"/>
          <w:lang w:val="es-BO"/>
        </w:rPr>
        <w:t xml:space="preserve"> demandas del sector productivo</w:t>
      </w:r>
      <w:r w:rsidRPr="00526208">
        <w:rPr>
          <w:rFonts w:ascii="Arial" w:hAnsi="Arial" w:cs="Arial"/>
          <w:sz w:val="24"/>
          <w:szCs w:val="24"/>
          <w:lang w:val="es-BO"/>
        </w:rPr>
        <w:t xml:space="preserve"> hacia los espacios generadores de conocimiento y articular las propuestas de proyectos para su presentación al FON</w:t>
      </w:r>
      <w:r>
        <w:rPr>
          <w:rFonts w:ascii="Arial" w:hAnsi="Arial" w:cs="Arial"/>
          <w:sz w:val="24"/>
          <w:szCs w:val="24"/>
          <w:lang w:val="es-BO"/>
        </w:rPr>
        <w:t>U</w:t>
      </w:r>
      <w:r w:rsidRPr="00526208">
        <w:rPr>
          <w:rFonts w:ascii="Arial" w:hAnsi="Arial" w:cs="Arial"/>
          <w:sz w:val="24"/>
          <w:szCs w:val="24"/>
          <w:lang w:val="es-BO"/>
        </w:rPr>
        <w:t>CyT. Sin embargo, para que esta tarea pueda ser cumplida, los espacios productivos y en especial los complejos productivos deben prestar predisposición para estos propósitos, lo cual deberá pasar por un proceso de sensibilización con los actores involucrados.</w:t>
      </w:r>
    </w:p>
    <w:p w:rsidR="001A05A8" w:rsidRDefault="001A05A8" w:rsidP="00526208">
      <w:pPr>
        <w:autoSpaceDE w:val="0"/>
        <w:autoSpaceDN w:val="0"/>
        <w:adjustRightInd w:val="0"/>
        <w:spacing w:after="0" w:line="240" w:lineRule="auto"/>
        <w:jc w:val="both"/>
        <w:rPr>
          <w:rFonts w:ascii="Arial" w:hAnsi="Arial" w:cs="Arial"/>
          <w:sz w:val="24"/>
          <w:szCs w:val="24"/>
          <w:lang w:val="es-BO"/>
        </w:rPr>
      </w:pPr>
    </w:p>
    <w:p w:rsidR="00C74C40" w:rsidRPr="00526208" w:rsidRDefault="00C74C40" w:rsidP="00526208">
      <w:pPr>
        <w:autoSpaceDE w:val="0"/>
        <w:autoSpaceDN w:val="0"/>
        <w:adjustRightInd w:val="0"/>
        <w:spacing w:after="0" w:line="240" w:lineRule="auto"/>
        <w:jc w:val="both"/>
        <w:rPr>
          <w:rFonts w:ascii="Arial" w:hAnsi="Arial" w:cs="Arial"/>
          <w:sz w:val="24"/>
          <w:szCs w:val="24"/>
          <w:lang w:val="es-BO"/>
        </w:rPr>
      </w:pPr>
      <w:r w:rsidRPr="00526208">
        <w:rPr>
          <w:rFonts w:ascii="Arial" w:hAnsi="Arial" w:cs="Arial"/>
          <w:sz w:val="24"/>
          <w:szCs w:val="24"/>
          <w:lang w:val="es-BO"/>
        </w:rPr>
        <w:t>El Sector Productivo forma</w:t>
      </w:r>
      <w:r w:rsidR="00AE49A9" w:rsidRPr="00526208">
        <w:rPr>
          <w:rFonts w:ascii="Arial" w:hAnsi="Arial" w:cs="Arial"/>
          <w:sz w:val="24"/>
          <w:szCs w:val="24"/>
          <w:lang w:val="es-BO"/>
        </w:rPr>
        <w:t xml:space="preserve"> parte integral del </w:t>
      </w:r>
      <w:r w:rsidR="00621496">
        <w:rPr>
          <w:rFonts w:ascii="Arial" w:hAnsi="Arial" w:cs="Arial"/>
          <w:sz w:val="24"/>
          <w:szCs w:val="24"/>
          <w:lang w:val="es-BO"/>
        </w:rPr>
        <w:t>SUII</w:t>
      </w:r>
      <w:r w:rsidR="00AE49A9" w:rsidRPr="00526208">
        <w:rPr>
          <w:rFonts w:ascii="Arial" w:hAnsi="Arial" w:cs="Arial"/>
          <w:sz w:val="24"/>
          <w:szCs w:val="24"/>
          <w:lang w:val="es-BO"/>
        </w:rPr>
        <w:t>,</w:t>
      </w:r>
      <w:r w:rsidRPr="00526208">
        <w:rPr>
          <w:rFonts w:ascii="Arial" w:hAnsi="Arial" w:cs="Arial"/>
          <w:sz w:val="24"/>
          <w:szCs w:val="24"/>
          <w:lang w:val="es-BO"/>
        </w:rPr>
        <w:t xml:space="preserve"> </w:t>
      </w:r>
      <w:r w:rsidR="00AE49A9" w:rsidRPr="00526208">
        <w:rPr>
          <w:rFonts w:ascii="Arial" w:hAnsi="Arial" w:cs="Arial"/>
          <w:sz w:val="24"/>
          <w:szCs w:val="24"/>
          <w:lang w:val="es-BO"/>
        </w:rPr>
        <w:t>s</w:t>
      </w:r>
      <w:r w:rsidR="00744146" w:rsidRPr="00526208">
        <w:rPr>
          <w:rFonts w:ascii="Arial" w:hAnsi="Arial" w:cs="Arial"/>
          <w:sz w:val="24"/>
          <w:szCs w:val="24"/>
          <w:lang w:val="es-BO"/>
        </w:rPr>
        <w:t xml:space="preserve">on </w:t>
      </w:r>
      <w:r w:rsidR="00AE49A9" w:rsidRPr="00526208">
        <w:rPr>
          <w:rFonts w:ascii="Arial" w:hAnsi="Arial" w:cs="Arial"/>
          <w:sz w:val="24"/>
          <w:szCs w:val="24"/>
          <w:lang w:val="es-BO"/>
        </w:rPr>
        <w:t>los espacios productivos y están conf</w:t>
      </w:r>
      <w:r w:rsidRPr="00526208">
        <w:rPr>
          <w:rFonts w:ascii="Arial" w:hAnsi="Arial" w:cs="Arial"/>
          <w:sz w:val="24"/>
          <w:szCs w:val="24"/>
          <w:lang w:val="es-BO"/>
        </w:rPr>
        <w:t xml:space="preserve">ormados por las micro, pequeñas y </w:t>
      </w:r>
      <w:r w:rsidR="00AE49A9" w:rsidRPr="00526208">
        <w:rPr>
          <w:rFonts w:ascii="Arial" w:hAnsi="Arial" w:cs="Arial"/>
          <w:sz w:val="24"/>
          <w:szCs w:val="24"/>
          <w:lang w:val="es-BO"/>
        </w:rPr>
        <w:t>medianas</w:t>
      </w:r>
      <w:r w:rsidRPr="00526208">
        <w:rPr>
          <w:rFonts w:ascii="Arial" w:hAnsi="Arial" w:cs="Arial"/>
          <w:sz w:val="24"/>
          <w:szCs w:val="24"/>
          <w:lang w:val="es-BO"/>
        </w:rPr>
        <w:t xml:space="preserve"> empresas</w:t>
      </w:r>
      <w:r w:rsidR="00AE49A9" w:rsidRPr="00526208">
        <w:rPr>
          <w:rFonts w:ascii="Arial" w:hAnsi="Arial" w:cs="Arial"/>
          <w:sz w:val="24"/>
          <w:szCs w:val="24"/>
          <w:lang w:val="es-BO"/>
        </w:rPr>
        <w:t>, así como también las comunidades productivas, organizaciones</w:t>
      </w:r>
      <w:r w:rsidRPr="00526208">
        <w:rPr>
          <w:rFonts w:ascii="Arial" w:hAnsi="Arial" w:cs="Arial"/>
          <w:sz w:val="24"/>
          <w:szCs w:val="24"/>
          <w:lang w:val="es-BO"/>
        </w:rPr>
        <w:t xml:space="preserve"> </w:t>
      </w:r>
      <w:r w:rsidR="00AE49A9" w:rsidRPr="00526208">
        <w:rPr>
          <w:rFonts w:ascii="Arial" w:hAnsi="Arial" w:cs="Arial"/>
          <w:sz w:val="24"/>
          <w:szCs w:val="24"/>
          <w:lang w:val="es-BO"/>
        </w:rPr>
        <w:t>sociales productivas, cooperativas y otras organizaciones productivas y de servicios técnicos de</w:t>
      </w:r>
      <w:r w:rsidRPr="00526208">
        <w:rPr>
          <w:rFonts w:ascii="Arial" w:hAnsi="Arial" w:cs="Arial"/>
          <w:sz w:val="24"/>
          <w:szCs w:val="24"/>
          <w:lang w:val="es-BO"/>
        </w:rPr>
        <w:t xml:space="preserve"> </w:t>
      </w:r>
      <w:r w:rsidR="00AE49A9" w:rsidRPr="00526208">
        <w:rPr>
          <w:rFonts w:ascii="Arial" w:hAnsi="Arial" w:cs="Arial"/>
          <w:sz w:val="24"/>
          <w:szCs w:val="24"/>
          <w:lang w:val="es-BO"/>
        </w:rPr>
        <w:t xml:space="preserve">apoyo. Estas entidades son las que </w:t>
      </w:r>
      <w:r w:rsidR="00AE49A9" w:rsidRPr="00526208">
        <w:rPr>
          <w:rFonts w:ascii="Arial" w:hAnsi="Arial" w:cs="Arial"/>
          <w:b/>
          <w:bCs/>
          <w:sz w:val="24"/>
          <w:szCs w:val="24"/>
          <w:lang w:val="es-BO"/>
        </w:rPr>
        <w:t xml:space="preserve">demandan </w:t>
      </w:r>
      <w:r w:rsidR="00621496">
        <w:rPr>
          <w:rFonts w:ascii="Arial" w:hAnsi="Arial" w:cs="Arial"/>
          <w:b/>
          <w:bCs/>
          <w:sz w:val="24"/>
          <w:szCs w:val="24"/>
          <w:lang w:val="es-BO"/>
        </w:rPr>
        <w:t xml:space="preserve">investigación e </w:t>
      </w:r>
      <w:r w:rsidR="00AE49A9" w:rsidRPr="00526208">
        <w:rPr>
          <w:rFonts w:ascii="Arial" w:hAnsi="Arial" w:cs="Arial"/>
          <w:b/>
          <w:bCs/>
          <w:sz w:val="24"/>
          <w:szCs w:val="24"/>
          <w:lang w:val="es-BO"/>
        </w:rPr>
        <w:t>innovación tecnológica productiva, innovación</w:t>
      </w:r>
      <w:r w:rsidRPr="00526208">
        <w:rPr>
          <w:rFonts w:ascii="Arial" w:hAnsi="Arial" w:cs="Arial"/>
          <w:b/>
          <w:bCs/>
          <w:sz w:val="24"/>
          <w:szCs w:val="24"/>
          <w:lang w:val="es-BO"/>
        </w:rPr>
        <w:t xml:space="preserve"> </w:t>
      </w:r>
      <w:r w:rsidR="00AE49A9" w:rsidRPr="00526208">
        <w:rPr>
          <w:rFonts w:ascii="Arial" w:hAnsi="Arial" w:cs="Arial"/>
          <w:b/>
          <w:bCs/>
          <w:sz w:val="24"/>
          <w:szCs w:val="24"/>
          <w:lang w:val="es-BO"/>
        </w:rPr>
        <w:t>de gestión e innovación en la comercialización</w:t>
      </w:r>
      <w:r w:rsidR="00AE49A9" w:rsidRPr="00526208">
        <w:rPr>
          <w:rFonts w:ascii="Arial" w:hAnsi="Arial" w:cs="Arial"/>
          <w:sz w:val="24"/>
          <w:szCs w:val="24"/>
          <w:lang w:val="es-BO"/>
        </w:rPr>
        <w:t>; por tanto, implica a todos los eslabonamientos</w:t>
      </w:r>
      <w:r w:rsidRPr="00526208">
        <w:rPr>
          <w:rFonts w:ascii="Arial" w:hAnsi="Arial" w:cs="Arial"/>
          <w:sz w:val="24"/>
          <w:szCs w:val="24"/>
          <w:lang w:val="es-BO"/>
        </w:rPr>
        <w:t xml:space="preserve"> </w:t>
      </w:r>
      <w:r w:rsidR="00AE49A9" w:rsidRPr="00526208">
        <w:rPr>
          <w:rFonts w:ascii="Arial" w:hAnsi="Arial" w:cs="Arial"/>
          <w:sz w:val="24"/>
          <w:szCs w:val="24"/>
          <w:lang w:val="es-BO"/>
        </w:rPr>
        <w:t>de los complejos productivos.</w:t>
      </w:r>
      <w:r w:rsidRPr="00526208">
        <w:rPr>
          <w:rFonts w:ascii="Arial" w:hAnsi="Arial" w:cs="Arial"/>
          <w:sz w:val="24"/>
          <w:szCs w:val="24"/>
          <w:lang w:val="es-BO"/>
        </w:rPr>
        <w:t xml:space="preserve"> Tales demandas se </w:t>
      </w:r>
      <w:r w:rsidR="00744146" w:rsidRPr="00526208">
        <w:rPr>
          <w:rFonts w:ascii="Arial" w:hAnsi="Arial" w:cs="Arial"/>
          <w:sz w:val="24"/>
          <w:szCs w:val="24"/>
          <w:lang w:val="es-BO"/>
        </w:rPr>
        <w:t>deben canalizar</w:t>
      </w:r>
      <w:r w:rsidRPr="00526208">
        <w:rPr>
          <w:rFonts w:ascii="Arial" w:hAnsi="Arial" w:cs="Arial"/>
          <w:sz w:val="24"/>
          <w:szCs w:val="24"/>
          <w:lang w:val="es-BO"/>
        </w:rPr>
        <w:t xml:space="preserve"> al FON</w:t>
      </w:r>
      <w:r w:rsidR="00621496">
        <w:rPr>
          <w:rFonts w:ascii="Arial" w:hAnsi="Arial" w:cs="Arial"/>
          <w:sz w:val="24"/>
          <w:szCs w:val="24"/>
          <w:lang w:val="es-BO"/>
        </w:rPr>
        <w:t>U</w:t>
      </w:r>
      <w:r w:rsidRPr="00526208">
        <w:rPr>
          <w:rFonts w:ascii="Arial" w:hAnsi="Arial" w:cs="Arial"/>
          <w:sz w:val="24"/>
          <w:szCs w:val="24"/>
          <w:lang w:val="es-BO"/>
        </w:rPr>
        <w:t xml:space="preserve">CyT a través </w:t>
      </w:r>
      <w:r w:rsidR="00A75B92">
        <w:rPr>
          <w:rFonts w:ascii="Arial" w:hAnsi="Arial" w:cs="Arial"/>
          <w:sz w:val="24"/>
          <w:szCs w:val="24"/>
          <w:lang w:val="es-BO"/>
        </w:rPr>
        <w:t xml:space="preserve">la ANUCTI y </w:t>
      </w:r>
      <w:r w:rsidRPr="00526208">
        <w:rPr>
          <w:rFonts w:ascii="Arial" w:hAnsi="Arial" w:cs="Arial"/>
          <w:sz w:val="24"/>
          <w:szCs w:val="24"/>
          <w:lang w:val="es-BO"/>
        </w:rPr>
        <w:t>los Sistemas Regionales de Innovación.</w:t>
      </w:r>
      <w:r w:rsidR="00AE49A9" w:rsidRPr="00526208">
        <w:rPr>
          <w:rFonts w:ascii="Arial" w:hAnsi="Arial" w:cs="Arial"/>
          <w:sz w:val="24"/>
          <w:szCs w:val="24"/>
          <w:lang w:val="es-BO"/>
        </w:rPr>
        <w:t xml:space="preserve"> </w:t>
      </w:r>
    </w:p>
    <w:p w:rsidR="00744146" w:rsidRPr="00526208" w:rsidRDefault="00744146" w:rsidP="00526208">
      <w:pPr>
        <w:autoSpaceDE w:val="0"/>
        <w:autoSpaceDN w:val="0"/>
        <w:adjustRightInd w:val="0"/>
        <w:spacing w:after="0" w:line="240" w:lineRule="auto"/>
        <w:jc w:val="both"/>
        <w:rPr>
          <w:rFonts w:ascii="Arial" w:hAnsi="Arial" w:cs="Arial"/>
          <w:sz w:val="24"/>
          <w:szCs w:val="24"/>
          <w:lang w:val="es-BO"/>
        </w:rPr>
      </w:pPr>
    </w:p>
    <w:p w:rsidR="00AE49A9" w:rsidRPr="00526208" w:rsidRDefault="00AE49A9" w:rsidP="00526208">
      <w:pPr>
        <w:autoSpaceDE w:val="0"/>
        <w:autoSpaceDN w:val="0"/>
        <w:adjustRightInd w:val="0"/>
        <w:spacing w:after="0" w:line="240" w:lineRule="auto"/>
        <w:jc w:val="both"/>
        <w:rPr>
          <w:rFonts w:ascii="Arial" w:hAnsi="Arial" w:cs="Arial"/>
          <w:sz w:val="24"/>
          <w:szCs w:val="24"/>
          <w:lang w:val="es-BO"/>
        </w:rPr>
      </w:pPr>
      <w:r w:rsidRPr="00526208">
        <w:rPr>
          <w:rFonts w:ascii="Arial" w:hAnsi="Arial" w:cs="Arial"/>
          <w:sz w:val="24"/>
          <w:szCs w:val="24"/>
          <w:lang w:val="es-BO"/>
        </w:rPr>
        <w:t xml:space="preserve">Por su parte, </w:t>
      </w:r>
      <w:r w:rsidR="00621496">
        <w:rPr>
          <w:rFonts w:ascii="Arial" w:hAnsi="Arial" w:cs="Arial"/>
          <w:sz w:val="24"/>
          <w:szCs w:val="24"/>
          <w:lang w:val="es-BO"/>
        </w:rPr>
        <w:t xml:space="preserve">el Sector Académico </w:t>
      </w:r>
      <w:r w:rsidRPr="00526208">
        <w:rPr>
          <w:rFonts w:ascii="Arial" w:hAnsi="Arial" w:cs="Arial"/>
          <w:sz w:val="24"/>
          <w:szCs w:val="24"/>
          <w:lang w:val="es-BO"/>
        </w:rPr>
        <w:t>independientemente</w:t>
      </w:r>
      <w:r w:rsidR="00744146" w:rsidRPr="00526208">
        <w:rPr>
          <w:rFonts w:ascii="Arial" w:hAnsi="Arial" w:cs="Arial"/>
          <w:sz w:val="24"/>
          <w:szCs w:val="24"/>
          <w:lang w:val="es-BO"/>
        </w:rPr>
        <w:t xml:space="preserve"> </w:t>
      </w:r>
      <w:r w:rsidRPr="00526208">
        <w:rPr>
          <w:rFonts w:ascii="Arial" w:hAnsi="Arial" w:cs="Arial"/>
          <w:sz w:val="24"/>
          <w:szCs w:val="24"/>
          <w:lang w:val="es-BO"/>
        </w:rPr>
        <w:t>de la demanda</w:t>
      </w:r>
      <w:r w:rsidR="00621496">
        <w:rPr>
          <w:rFonts w:ascii="Arial" w:hAnsi="Arial" w:cs="Arial"/>
          <w:sz w:val="24"/>
          <w:szCs w:val="24"/>
          <w:lang w:val="es-BO"/>
        </w:rPr>
        <w:t>,</w:t>
      </w:r>
      <w:r w:rsidRPr="00526208">
        <w:rPr>
          <w:rFonts w:ascii="Arial" w:hAnsi="Arial" w:cs="Arial"/>
          <w:sz w:val="24"/>
          <w:szCs w:val="24"/>
          <w:lang w:val="es-BO"/>
        </w:rPr>
        <w:t xml:space="preserve"> </w:t>
      </w:r>
      <w:r w:rsidRPr="00526208">
        <w:rPr>
          <w:rFonts w:ascii="Arial" w:hAnsi="Arial" w:cs="Arial"/>
          <w:b/>
          <w:bCs/>
          <w:sz w:val="24"/>
          <w:szCs w:val="24"/>
          <w:lang w:val="es-BO"/>
        </w:rPr>
        <w:t>ofertan innovaciones tecnológicas, de gestión y comercialización</w:t>
      </w:r>
      <w:r w:rsidRPr="00526208">
        <w:rPr>
          <w:rFonts w:ascii="Arial" w:hAnsi="Arial" w:cs="Arial"/>
          <w:sz w:val="24"/>
          <w:szCs w:val="24"/>
          <w:lang w:val="es-BO"/>
        </w:rPr>
        <w:t>, las mismas</w:t>
      </w:r>
      <w:r w:rsidR="00744146" w:rsidRPr="00526208">
        <w:rPr>
          <w:rFonts w:ascii="Arial" w:hAnsi="Arial" w:cs="Arial"/>
          <w:sz w:val="24"/>
          <w:szCs w:val="24"/>
          <w:lang w:val="es-BO"/>
        </w:rPr>
        <w:t xml:space="preserve"> </w:t>
      </w:r>
      <w:r w:rsidRPr="00526208">
        <w:rPr>
          <w:rFonts w:ascii="Arial" w:hAnsi="Arial" w:cs="Arial"/>
          <w:sz w:val="24"/>
          <w:szCs w:val="24"/>
          <w:lang w:val="es-BO"/>
        </w:rPr>
        <w:t>que son transferidas hacia los espacios productivos para su a</w:t>
      </w:r>
      <w:r w:rsidR="00621496">
        <w:rPr>
          <w:rFonts w:ascii="Arial" w:hAnsi="Arial" w:cs="Arial"/>
          <w:sz w:val="24"/>
          <w:szCs w:val="24"/>
          <w:lang w:val="es-BO"/>
        </w:rPr>
        <w:t>propiación</w:t>
      </w:r>
      <w:r w:rsidRPr="00526208">
        <w:rPr>
          <w:rFonts w:ascii="Arial" w:hAnsi="Arial" w:cs="Arial"/>
          <w:sz w:val="24"/>
          <w:szCs w:val="24"/>
          <w:lang w:val="es-BO"/>
        </w:rPr>
        <w:t>. En los espacios de</w:t>
      </w:r>
      <w:r w:rsidR="00744146" w:rsidRPr="00526208">
        <w:rPr>
          <w:rFonts w:ascii="Arial" w:hAnsi="Arial" w:cs="Arial"/>
          <w:sz w:val="24"/>
          <w:szCs w:val="24"/>
          <w:lang w:val="es-BO"/>
        </w:rPr>
        <w:t xml:space="preserve"> </w:t>
      </w:r>
      <w:r w:rsidRPr="00526208">
        <w:rPr>
          <w:rFonts w:ascii="Arial" w:hAnsi="Arial" w:cs="Arial"/>
          <w:sz w:val="24"/>
          <w:szCs w:val="24"/>
          <w:lang w:val="es-BO"/>
        </w:rPr>
        <w:t>investigación pueden darse procesos de innovación basados las capacidades técnicas de los</w:t>
      </w:r>
      <w:r w:rsidR="00744146" w:rsidRPr="00526208">
        <w:rPr>
          <w:rFonts w:ascii="Arial" w:hAnsi="Arial" w:cs="Arial"/>
          <w:sz w:val="24"/>
          <w:szCs w:val="24"/>
          <w:lang w:val="es-BO"/>
        </w:rPr>
        <w:t xml:space="preserve"> </w:t>
      </w:r>
      <w:r w:rsidRPr="00526208">
        <w:rPr>
          <w:rFonts w:ascii="Arial" w:hAnsi="Arial" w:cs="Arial"/>
          <w:sz w:val="24"/>
          <w:szCs w:val="24"/>
          <w:lang w:val="es-BO"/>
        </w:rPr>
        <w:t>espacios productivos y viceversa; esto ocurre sobre todo cuando existen trabajos investigación</w:t>
      </w:r>
      <w:r w:rsidR="00744146" w:rsidRPr="00526208">
        <w:rPr>
          <w:rFonts w:ascii="Arial" w:hAnsi="Arial" w:cs="Arial"/>
          <w:sz w:val="24"/>
          <w:szCs w:val="24"/>
          <w:lang w:val="es-BO"/>
        </w:rPr>
        <w:t xml:space="preserve"> </w:t>
      </w:r>
      <w:r w:rsidRPr="00526208">
        <w:rPr>
          <w:rFonts w:ascii="Arial" w:hAnsi="Arial" w:cs="Arial"/>
          <w:sz w:val="24"/>
          <w:szCs w:val="24"/>
          <w:lang w:val="es-BO"/>
        </w:rPr>
        <w:t>participativos, en los que están inmersos los actores de los espacios productivos.</w:t>
      </w:r>
    </w:p>
    <w:p w:rsidR="00744146" w:rsidRPr="00526208" w:rsidRDefault="00744146" w:rsidP="00526208">
      <w:pPr>
        <w:autoSpaceDE w:val="0"/>
        <w:autoSpaceDN w:val="0"/>
        <w:adjustRightInd w:val="0"/>
        <w:spacing w:after="0" w:line="240" w:lineRule="auto"/>
        <w:jc w:val="both"/>
        <w:rPr>
          <w:rFonts w:ascii="Arial" w:hAnsi="Arial" w:cs="Arial"/>
          <w:sz w:val="24"/>
          <w:szCs w:val="24"/>
          <w:lang w:val="es-BO"/>
        </w:rPr>
      </w:pPr>
    </w:p>
    <w:p w:rsidR="00744146" w:rsidRPr="00526208" w:rsidRDefault="00744146" w:rsidP="00526208">
      <w:pPr>
        <w:spacing w:after="0" w:line="240" w:lineRule="auto"/>
        <w:jc w:val="both"/>
        <w:rPr>
          <w:rFonts w:ascii="Arial" w:hAnsi="Arial" w:cs="Arial"/>
          <w:sz w:val="24"/>
          <w:szCs w:val="24"/>
          <w:lang w:val="es-BO"/>
        </w:rPr>
      </w:pPr>
      <w:r w:rsidRPr="00526208">
        <w:rPr>
          <w:rFonts w:ascii="Arial" w:hAnsi="Arial" w:cs="Arial"/>
          <w:sz w:val="24"/>
          <w:szCs w:val="24"/>
          <w:lang w:val="es-BO"/>
        </w:rPr>
        <w:t>También, la</w:t>
      </w:r>
      <w:r w:rsidR="00621496">
        <w:rPr>
          <w:rFonts w:ascii="Arial" w:hAnsi="Arial" w:cs="Arial"/>
          <w:sz w:val="24"/>
          <w:szCs w:val="24"/>
          <w:lang w:val="es-BO"/>
        </w:rPr>
        <w:t xml:space="preserve"> Sociedad Civil tiene</w:t>
      </w:r>
      <w:r w:rsidRPr="00526208">
        <w:rPr>
          <w:rFonts w:ascii="Arial" w:hAnsi="Arial" w:cs="Arial"/>
          <w:sz w:val="24"/>
          <w:szCs w:val="24"/>
          <w:lang w:val="es-BO"/>
        </w:rPr>
        <w:t xml:space="preserve"> requerimientos de innovación social</w:t>
      </w:r>
      <w:r w:rsidR="00621496">
        <w:rPr>
          <w:rFonts w:ascii="Arial" w:hAnsi="Arial" w:cs="Arial"/>
          <w:sz w:val="24"/>
          <w:szCs w:val="24"/>
          <w:lang w:val="es-BO"/>
        </w:rPr>
        <w:t>,</w:t>
      </w:r>
      <w:r w:rsidRPr="00526208">
        <w:rPr>
          <w:rFonts w:ascii="Arial" w:hAnsi="Arial" w:cs="Arial"/>
          <w:sz w:val="24"/>
          <w:szCs w:val="24"/>
          <w:lang w:val="es-BO"/>
        </w:rPr>
        <w:t xml:space="preserve"> para a</w:t>
      </w:r>
      <w:r w:rsidR="00621496">
        <w:rPr>
          <w:rFonts w:ascii="Arial" w:hAnsi="Arial" w:cs="Arial"/>
          <w:sz w:val="24"/>
          <w:szCs w:val="24"/>
          <w:lang w:val="es-BO"/>
        </w:rPr>
        <w:t xml:space="preserve">tender o resolver los problemas el Sector Académico </w:t>
      </w:r>
      <w:r w:rsidRPr="00526208">
        <w:rPr>
          <w:rFonts w:ascii="Arial" w:hAnsi="Arial" w:cs="Arial"/>
          <w:sz w:val="24"/>
          <w:szCs w:val="24"/>
          <w:lang w:val="es-BO"/>
        </w:rPr>
        <w:t>de manera colaborativa debe</w:t>
      </w:r>
      <w:r w:rsidR="00621496">
        <w:rPr>
          <w:rFonts w:ascii="Arial" w:hAnsi="Arial" w:cs="Arial"/>
          <w:sz w:val="24"/>
          <w:szCs w:val="24"/>
          <w:lang w:val="es-BO"/>
        </w:rPr>
        <w:t xml:space="preserve"> aportar con su trabajo de investigación e innovación.</w:t>
      </w:r>
    </w:p>
    <w:p w:rsidR="00744146" w:rsidRPr="00526208" w:rsidRDefault="00744146" w:rsidP="00526208">
      <w:pPr>
        <w:spacing w:after="0" w:line="240" w:lineRule="auto"/>
        <w:jc w:val="both"/>
        <w:rPr>
          <w:rFonts w:ascii="Arial" w:hAnsi="Arial" w:cs="Arial"/>
          <w:sz w:val="24"/>
          <w:szCs w:val="24"/>
          <w:lang w:val="es-BO"/>
        </w:rPr>
      </w:pPr>
    </w:p>
    <w:p w:rsidR="00B95F78" w:rsidRPr="00526208" w:rsidRDefault="00B95F78" w:rsidP="00526208">
      <w:pPr>
        <w:spacing w:after="0" w:line="240" w:lineRule="auto"/>
        <w:jc w:val="both"/>
        <w:rPr>
          <w:rFonts w:ascii="Arial" w:hAnsi="Arial" w:cs="Arial"/>
          <w:sz w:val="24"/>
          <w:szCs w:val="24"/>
          <w:lang w:val="es-BO"/>
        </w:rPr>
      </w:pPr>
      <w:r w:rsidRPr="00526208">
        <w:rPr>
          <w:rFonts w:ascii="Arial" w:hAnsi="Arial" w:cs="Arial"/>
          <w:sz w:val="24"/>
          <w:szCs w:val="24"/>
          <w:lang w:val="es-BO"/>
        </w:rPr>
        <w:t>Finalmente, el rol del Estado corresponde a una instancia articuladora y rectora del S</w:t>
      </w:r>
      <w:r w:rsidR="00621496">
        <w:rPr>
          <w:rFonts w:ascii="Arial" w:hAnsi="Arial" w:cs="Arial"/>
          <w:sz w:val="24"/>
          <w:szCs w:val="24"/>
          <w:lang w:val="es-BO"/>
        </w:rPr>
        <w:t>UII</w:t>
      </w:r>
      <w:r w:rsidRPr="00526208">
        <w:rPr>
          <w:rFonts w:ascii="Arial" w:hAnsi="Arial" w:cs="Arial"/>
          <w:sz w:val="24"/>
          <w:szCs w:val="24"/>
          <w:lang w:val="es-BO"/>
        </w:rPr>
        <w:t>, donde debe trabajar en normas, decretos y leyes que permitan la articulación del FON</w:t>
      </w:r>
      <w:r w:rsidR="00621496">
        <w:rPr>
          <w:rFonts w:ascii="Arial" w:hAnsi="Arial" w:cs="Arial"/>
          <w:sz w:val="24"/>
          <w:szCs w:val="24"/>
          <w:lang w:val="es-BO"/>
        </w:rPr>
        <w:t>UCyT y las</w:t>
      </w:r>
      <w:r w:rsidRPr="00526208">
        <w:rPr>
          <w:rFonts w:ascii="Arial" w:hAnsi="Arial" w:cs="Arial"/>
          <w:sz w:val="24"/>
          <w:szCs w:val="24"/>
          <w:lang w:val="es-BO"/>
        </w:rPr>
        <w:t xml:space="preserve"> </w:t>
      </w:r>
      <w:r w:rsidR="00621496">
        <w:rPr>
          <w:rFonts w:ascii="Arial" w:hAnsi="Arial" w:cs="Arial"/>
          <w:sz w:val="24"/>
          <w:szCs w:val="24"/>
          <w:lang w:val="es-BO"/>
        </w:rPr>
        <w:t>tareas o acciones necesaria</w:t>
      </w:r>
      <w:r w:rsidRPr="00526208">
        <w:rPr>
          <w:rFonts w:ascii="Arial" w:hAnsi="Arial" w:cs="Arial"/>
          <w:sz w:val="24"/>
          <w:szCs w:val="24"/>
          <w:lang w:val="es-BO"/>
        </w:rPr>
        <w:t xml:space="preserve">s para propiciar </w:t>
      </w:r>
      <w:r w:rsidR="00655BD9" w:rsidRPr="00526208">
        <w:rPr>
          <w:rFonts w:ascii="Arial" w:hAnsi="Arial" w:cs="Arial"/>
          <w:sz w:val="24"/>
          <w:szCs w:val="24"/>
          <w:lang w:val="es-BO"/>
        </w:rPr>
        <w:t>la incorporación de conocimiento en la producción de bienes y servicios.</w:t>
      </w:r>
    </w:p>
    <w:p w:rsidR="005564B0" w:rsidRDefault="005564B0" w:rsidP="00526208">
      <w:pPr>
        <w:spacing w:after="0" w:line="240" w:lineRule="auto"/>
        <w:jc w:val="both"/>
        <w:rPr>
          <w:rFonts w:ascii="Arial" w:hAnsi="Arial" w:cs="Arial"/>
          <w:b/>
          <w:sz w:val="24"/>
          <w:szCs w:val="24"/>
          <w:lang w:val="es-BO"/>
        </w:rPr>
      </w:pPr>
    </w:p>
    <w:p w:rsidR="001F0347" w:rsidRDefault="001F0347" w:rsidP="001F0347">
      <w:pPr>
        <w:spacing w:after="0" w:line="240" w:lineRule="auto"/>
        <w:jc w:val="both"/>
        <w:rPr>
          <w:rFonts w:ascii="Arial" w:hAnsi="Arial" w:cs="Arial"/>
          <w:b/>
          <w:sz w:val="24"/>
          <w:szCs w:val="24"/>
          <w:lang w:val="es-BO"/>
        </w:rPr>
      </w:pPr>
    </w:p>
    <w:p w:rsidR="005B2266" w:rsidRPr="001F0347" w:rsidRDefault="001F0347" w:rsidP="006F6142">
      <w:pPr>
        <w:pStyle w:val="Ttulo1"/>
        <w:rPr>
          <w:lang w:val="es-BO"/>
        </w:rPr>
      </w:pPr>
      <w:bookmarkStart w:id="6" w:name="_Toc471887276"/>
      <w:r>
        <w:rPr>
          <w:lang w:val="es-BO"/>
        </w:rPr>
        <w:t xml:space="preserve">4. </w:t>
      </w:r>
      <w:r w:rsidR="005B2266" w:rsidRPr="001F0347">
        <w:rPr>
          <w:lang w:val="es-BO"/>
        </w:rPr>
        <w:t>Naturaleza de</w:t>
      </w:r>
      <w:r>
        <w:rPr>
          <w:lang w:val="es-BO"/>
        </w:rPr>
        <w:t xml:space="preserve">l </w:t>
      </w:r>
      <w:r w:rsidR="005B2266" w:rsidRPr="001F0347">
        <w:rPr>
          <w:lang w:val="es-BO"/>
        </w:rPr>
        <w:t>FON</w:t>
      </w:r>
      <w:r>
        <w:rPr>
          <w:lang w:val="es-BO"/>
        </w:rPr>
        <w:t>UCyT</w:t>
      </w:r>
      <w:bookmarkEnd w:id="6"/>
    </w:p>
    <w:p w:rsidR="005B2266" w:rsidRPr="00526208" w:rsidRDefault="005B2266" w:rsidP="00526208">
      <w:pPr>
        <w:spacing w:after="0" w:line="240" w:lineRule="auto"/>
        <w:jc w:val="both"/>
        <w:rPr>
          <w:rFonts w:ascii="Arial" w:hAnsi="Arial" w:cs="Arial"/>
          <w:b/>
          <w:sz w:val="24"/>
          <w:szCs w:val="24"/>
          <w:lang w:val="es-BO"/>
        </w:rPr>
      </w:pPr>
    </w:p>
    <w:p w:rsidR="001D752D" w:rsidRPr="00526208" w:rsidRDefault="001F0347" w:rsidP="001D752D">
      <w:pPr>
        <w:spacing w:after="0" w:line="240" w:lineRule="auto"/>
        <w:jc w:val="both"/>
        <w:rPr>
          <w:rFonts w:ascii="Arial" w:hAnsi="Arial" w:cs="Arial"/>
          <w:sz w:val="24"/>
          <w:szCs w:val="24"/>
          <w:lang w:val="es-BO"/>
        </w:rPr>
      </w:pPr>
      <w:r>
        <w:rPr>
          <w:rFonts w:ascii="Arial" w:hAnsi="Arial" w:cs="Arial"/>
          <w:sz w:val="24"/>
          <w:szCs w:val="24"/>
          <w:lang w:val="es-BO"/>
        </w:rPr>
        <w:t xml:space="preserve">Los recursos que administrará la ANUCTI correspondientes al </w:t>
      </w:r>
      <w:r w:rsidR="005B2266" w:rsidRPr="00526208">
        <w:rPr>
          <w:rFonts w:ascii="Arial" w:hAnsi="Arial" w:cs="Arial"/>
          <w:sz w:val="24"/>
          <w:szCs w:val="24"/>
          <w:lang w:val="es-BO"/>
        </w:rPr>
        <w:t>Fondo Nacional</w:t>
      </w:r>
      <w:r>
        <w:rPr>
          <w:rFonts w:ascii="Arial" w:hAnsi="Arial" w:cs="Arial"/>
          <w:sz w:val="24"/>
          <w:szCs w:val="24"/>
          <w:lang w:val="es-BO"/>
        </w:rPr>
        <w:t xml:space="preserve"> Universitario</w:t>
      </w:r>
      <w:r w:rsidR="005B2266" w:rsidRPr="00526208">
        <w:rPr>
          <w:rFonts w:ascii="Arial" w:hAnsi="Arial" w:cs="Arial"/>
          <w:sz w:val="24"/>
          <w:szCs w:val="24"/>
          <w:lang w:val="es-BO"/>
        </w:rPr>
        <w:t xml:space="preserve"> de Ciencia y Tecnología (FON</w:t>
      </w:r>
      <w:r>
        <w:rPr>
          <w:rFonts w:ascii="Arial" w:hAnsi="Arial" w:cs="Arial"/>
          <w:sz w:val="24"/>
          <w:szCs w:val="24"/>
          <w:lang w:val="es-BO"/>
        </w:rPr>
        <w:t>U</w:t>
      </w:r>
      <w:r w:rsidR="005B2266" w:rsidRPr="00526208">
        <w:rPr>
          <w:rFonts w:ascii="Arial" w:hAnsi="Arial" w:cs="Arial"/>
          <w:sz w:val="24"/>
          <w:szCs w:val="24"/>
          <w:lang w:val="es-BO"/>
        </w:rPr>
        <w:t>CyT)</w:t>
      </w:r>
      <w:r w:rsidR="005564B0" w:rsidRPr="00526208">
        <w:rPr>
          <w:rFonts w:ascii="Arial" w:hAnsi="Arial" w:cs="Arial"/>
          <w:sz w:val="24"/>
          <w:szCs w:val="24"/>
          <w:lang w:val="es-BO"/>
        </w:rPr>
        <w:t>,</w:t>
      </w:r>
      <w:r w:rsidR="005B2266" w:rsidRPr="00526208">
        <w:rPr>
          <w:rFonts w:ascii="Arial" w:hAnsi="Arial" w:cs="Arial"/>
          <w:sz w:val="24"/>
          <w:szCs w:val="24"/>
          <w:lang w:val="es-BO"/>
        </w:rPr>
        <w:t xml:space="preserve"> será administrado en el marco de la autonomía de las Universidades del SUB, lo que permitirá contar con un patrimonio autónomo al S</w:t>
      </w:r>
      <w:r>
        <w:rPr>
          <w:rFonts w:ascii="Arial" w:hAnsi="Arial" w:cs="Arial"/>
          <w:sz w:val="24"/>
          <w:szCs w:val="24"/>
          <w:lang w:val="es-BO"/>
        </w:rPr>
        <w:t>UII</w:t>
      </w:r>
      <w:r w:rsidR="005B2266" w:rsidRPr="00526208">
        <w:rPr>
          <w:rFonts w:ascii="Arial" w:hAnsi="Arial" w:cs="Arial"/>
          <w:sz w:val="24"/>
          <w:szCs w:val="24"/>
          <w:lang w:val="es-BO"/>
        </w:rPr>
        <w:t>.</w:t>
      </w:r>
      <w:r w:rsidR="001A05A8">
        <w:rPr>
          <w:rFonts w:ascii="Arial" w:hAnsi="Arial" w:cs="Arial"/>
          <w:sz w:val="24"/>
          <w:szCs w:val="24"/>
          <w:lang w:val="es-BO"/>
        </w:rPr>
        <w:t xml:space="preserve">  </w:t>
      </w:r>
      <w:r w:rsidR="001D752D">
        <w:rPr>
          <w:rFonts w:ascii="Arial" w:hAnsi="Arial" w:cs="Arial"/>
          <w:sz w:val="24"/>
          <w:szCs w:val="24"/>
          <w:lang w:val="es-BO"/>
        </w:rPr>
        <w:t xml:space="preserve">La ANUCTI será una entidad de derecho público y autárquica, con autonomía en la administración de recursos y nombramiento de su personal. </w:t>
      </w:r>
    </w:p>
    <w:p w:rsidR="001D752D" w:rsidRDefault="001D752D" w:rsidP="00526208">
      <w:pPr>
        <w:spacing w:after="0" w:line="240" w:lineRule="auto"/>
        <w:jc w:val="both"/>
        <w:rPr>
          <w:rFonts w:ascii="Arial" w:hAnsi="Arial" w:cs="Arial"/>
          <w:sz w:val="24"/>
          <w:szCs w:val="24"/>
          <w:lang w:val="es-BO"/>
        </w:rPr>
      </w:pPr>
    </w:p>
    <w:p w:rsidR="004D44E3" w:rsidRDefault="004D44E3" w:rsidP="00526208">
      <w:pPr>
        <w:spacing w:after="0" w:line="240" w:lineRule="auto"/>
        <w:jc w:val="both"/>
        <w:rPr>
          <w:rFonts w:ascii="Arial" w:hAnsi="Arial" w:cs="Arial"/>
          <w:sz w:val="24"/>
          <w:szCs w:val="24"/>
          <w:lang w:val="es-BO"/>
        </w:rPr>
      </w:pPr>
      <w:r w:rsidRPr="00526208">
        <w:rPr>
          <w:rFonts w:ascii="Arial" w:hAnsi="Arial" w:cs="Arial"/>
          <w:sz w:val="24"/>
          <w:szCs w:val="24"/>
          <w:lang w:val="es-BO"/>
        </w:rPr>
        <w:t xml:space="preserve">Basado en el concepto de patrimonio autónomo, la Dirección </w:t>
      </w:r>
      <w:r w:rsidR="001F0347">
        <w:rPr>
          <w:rFonts w:ascii="Arial" w:hAnsi="Arial" w:cs="Arial"/>
          <w:sz w:val="24"/>
          <w:szCs w:val="24"/>
          <w:lang w:val="es-BO"/>
        </w:rPr>
        <w:t xml:space="preserve">Ejecutiva de la ANUCTI </w:t>
      </w:r>
      <w:r w:rsidRPr="00526208">
        <w:rPr>
          <w:rFonts w:ascii="Arial" w:hAnsi="Arial" w:cs="Arial"/>
          <w:sz w:val="24"/>
          <w:szCs w:val="24"/>
          <w:lang w:val="es-BO"/>
        </w:rPr>
        <w:t>será el único fideicomitente o fiduciante, que suscribirá contratos con los interesados en la otorgación de financiamiento para investigaciones</w:t>
      </w:r>
      <w:r w:rsidR="001F0347">
        <w:rPr>
          <w:rFonts w:ascii="Arial" w:hAnsi="Arial" w:cs="Arial"/>
          <w:sz w:val="24"/>
          <w:szCs w:val="24"/>
          <w:lang w:val="es-BO"/>
        </w:rPr>
        <w:t xml:space="preserve"> </w:t>
      </w:r>
      <w:r w:rsidRPr="00526208">
        <w:rPr>
          <w:rFonts w:ascii="Arial" w:hAnsi="Arial" w:cs="Arial"/>
          <w:sz w:val="24"/>
          <w:szCs w:val="24"/>
          <w:lang w:val="es-BO"/>
        </w:rPr>
        <w:t xml:space="preserve">científicas, desarrollo tecnológico e innovaciones, esto según requisitos y condiciones publicadas en convocatorias de financiamiento. </w:t>
      </w:r>
    </w:p>
    <w:p w:rsidR="00A75B92" w:rsidRDefault="00A75B92" w:rsidP="00526208">
      <w:pPr>
        <w:spacing w:after="0" w:line="240" w:lineRule="auto"/>
        <w:jc w:val="both"/>
        <w:rPr>
          <w:rFonts w:ascii="Arial" w:hAnsi="Arial" w:cs="Arial"/>
          <w:sz w:val="24"/>
          <w:szCs w:val="24"/>
          <w:lang w:val="es-BO"/>
        </w:rPr>
      </w:pPr>
    </w:p>
    <w:p w:rsidR="004D44E3" w:rsidRPr="00526208" w:rsidRDefault="004D44E3" w:rsidP="00526208">
      <w:pPr>
        <w:spacing w:after="0" w:line="240" w:lineRule="auto"/>
        <w:jc w:val="both"/>
        <w:rPr>
          <w:rFonts w:ascii="Arial" w:hAnsi="Arial" w:cs="Arial"/>
          <w:sz w:val="24"/>
          <w:szCs w:val="24"/>
          <w:lang w:val="es-BO"/>
        </w:rPr>
      </w:pPr>
    </w:p>
    <w:p w:rsidR="001F68DD" w:rsidRPr="00526208" w:rsidRDefault="004D44E3" w:rsidP="00526208">
      <w:pPr>
        <w:spacing w:after="0" w:line="240" w:lineRule="auto"/>
        <w:jc w:val="both"/>
        <w:rPr>
          <w:rFonts w:ascii="Arial" w:hAnsi="Arial" w:cs="Arial"/>
          <w:sz w:val="24"/>
          <w:szCs w:val="24"/>
          <w:lang w:val="es-BO"/>
        </w:rPr>
      </w:pPr>
      <w:r w:rsidRPr="00526208">
        <w:rPr>
          <w:rFonts w:ascii="Arial" w:hAnsi="Arial" w:cs="Arial"/>
          <w:sz w:val="24"/>
          <w:szCs w:val="24"/>
          <w:lang w:val="es-BO"/>
        </w:rPr>
        <w:t>E</w:t>
      </w:r>
      <w:r w:rsidR="00620542" w:rsidRPr="00526208">
        <w:rPr>
          <w:rFonts w:ascii="Arial" w:hAnsi="Arial" w:cs="Arial"/>
          <w:sz w:val="24"/>
          <w:szCs w:val="24"/>
          <w:lang w:val="es-BO"/>
        </w:rPr>
        <w:t>l aporte inicial realizado por las Universidades del SUB y del Gobierno Central debe servir de capital semilla, el mismo que debe ser apalancado</w:t>
      </w:r>
      <w:r w:rsidR="008874EE" w:rsidRPr="00526208">
        <w:rPr>
          <w:rFonts w:ascii="Arial" w:hAnsi="Arial" w:cs="Arial"/>
          <w:sz w:val="24"/>
          <w:szCs w:val="24"/>
          <w:lang w:val="es-BO"/>
        </w:rPr>
        <w:t xml:space="preserve"> con la captación de fondos de la cooperación internacional, gobiernos departamentales y mun</w:t>
      </w:r>
      <w:r w:rsidR="001F0347">
        <w:rPr>
          <w:rFonts w:ascii="Arial" w:hAnsi="Arial" w:cs="Arial"/>
          <w:sz w:val="24"/>
          <w:szCs w:val="24"/>
          <w:lang w:val="es-BO"/>
        </w:rPr>
        <w:t>icipales, la empresa privada y/u</w:t>
      </w:r>
      <w:r w:rsidR="008874EE" w:rsidRPr="00526208">
        <w:rPr>
          <w:rFonts w:ascii="Arial" w:hAnsi="Arial" w:cs="Arial"/>
          <w:sz w:val="24"/>
          <w:szCs w:val="24"/>
          <w:lang w:val="es-BO"/>
        </w:rPr>
        <w:t xml:space="preserve"> organizaciones sociales. </w:t>
      </w:r>
      <w:r w:rsidR="00620542" w:rsidRPr="00526208">
        <w:rPr>
          <w:rFonts w:ascii="Arial" w:hAnsi="Arial" w:cs="Arial"/>
          <w:sz w:val="24"/>
          <w:szCs w:val="24"/>
          <w:lang w:val="es-BO"/>
        </w:rPr>
        <w:t xml:space="preserve">Este apalancamiento debe </w:t>
      </w:r>
      <w:r w:rsidR="008874EE" w:rsidRPr="00526208">
        <w:rPr>
          <w:rFonts w:ascii="Arial" w:hAnsi="Arial" w:cs="Arial"/>
          <w:sz w:val="24"/>
          <w:szCs w:val="24"/>
          <w:lang w:val="es-BO"/>
        </w:rPr>
        <w:t xml:space="preserve">permitir duplicar o triplicar el monto del capital semilla de manera anual, </w:t>
      </w:r>
      <w:r w:rsidR="001F0347">
        <w:rPr>
          <w:rFonts w:ascii="Arial" w:hAnsi="Arial" w:cs="Arial"/>
          <w:sz w:val="24"/>
          <w:szCs w:val="24"/>
          <w:lang w:val="es-BO"/>
        </w:rPr>
        <w:t>aspecto que se encuentra dentro de las funciones del Coordinador de Vinculación Estratégica de la ANUCTI.</w:t>
      </w:r>
    </w:p>
    <w:p w:rsidR="00620542" w:rsidRDefault="008874EE" w:rsidP="00526208">
      <w:pPr>
        <w:spacing w:after="0" w:line="240" w:lineRule="auto"/>
        <w:jc w:val="both"/>
        <w:rPr>
          <w:rFonts w:ascii="Arial" w:hAnsi="Arial" w:cs="Arial"/>
          <w:b/>
          <w:sz w:val="24"/>
          <w:szCs w:val="24"/>
          <w:lang w:val="es-BO"/>
        </w:rPr>
      </w:pPr>
      <w:r w:rsidRPr="00526208">
        <w:rPr>
          <w:rFonts w:ascii="Arial" w:hAnsi="Arial" w:cs="Arial"/>
          <w:b/>
          <w:sz w:val="24"/>
          <w:szCs w:val="24"/>
          <w:lang w:val="es-BO"/>
        </w:rPr>
        <w:t xml:space="preserve"> </w:t>
      </w:r>
    </w:p>
    <w:p w:rsidR="001F0347" w:rsidRPr="00526208" w:rsidRDefault="001F0347" w:rsidP="00526208">
      <w:pPr>
        <w:spacing w:after="0" w:line="240" w:lineRule="auto"/>
        <w:jc w:val="both"/>
        <w:rPr>
          <w:rFonts w:ascii="Arial" w:hAnsi="Arial" w:cs="Arial"/>
          <w:b/>
          <w:sz w:val="24"/>
          <w:szCs w:val="24"/>
          <w:lang w:val="es-BO"/>
        </w:rPr>
      </w:pPr>
    </w:p>
    <w:p w:rsidR="00620542" w:rsidRPr="001F0347" w:rsidRDefault="001F0347" w:rsidP="006F6142">
      <w:pPr>
        <w:pStyle w:val="Ttulo1"/>
        <w:rPr>
          <w:lang w:val="es-BO"/>
        </w:rPr>
      </w:pPr>
      <w:bookmarkStart w:id="7" w:name="_Toc471887277"/>
      <w:r>
        <w:rPr>
          <w:lang w:val="es-BO"/>
        </w:rPr>
        <w:t xml:space="preserve">5. </w:t>
      </w:r>
      <w:r w:rsidR="00655BD9" w:rsidRPr="001F0347">
        <w:rPr>
          <w:lang w:val="es-BO"/>
        </w:rPr>
        <w:t xml:space="preserve">Programa o Líneas de financiamiento </w:t>
      </w:r>
      <w:r w:rsidR="00A75B92">
        <w:rPr>
          <w:lang w:val="es-BO"/>
        </w:rPr>
        <w:t>con el</w:t>
      </w:r>
      <w:r w:rsidR="00620542" w:rsidRPr="001F0347">
        <w:rPr>
          <w:lang w:val="es-BO"/>
        </w:rPr>
        <w:t xml:space="preserve"> FON</w:t>
      </w:r>
      <w:r>
        <w:rPr>
          <w:lang w:val="es-BO"/>
        </w:rPr>
        <w:t>U</w:t>
      </w:r>
      <w:r w:rsidR="00620542" w:rsidRPr="001F0347">
        <w:rPr>
          <w:lang w:val="es-BO"/>
        </w:rPr>
        <w:t>CyT</w:t>
      </w:r>
      <w:bookmarkEnd w:id="7"/>
    </w:p>
    <w:p w:rsidR="00620542" w:rsidRPr="00526208" w:rsidRDefault="00620542" w:rsidP="00526208">
      <w:pPr>
        <w:spacing w:after="0" w:line="240" w:lineRule="auto"/>
        <w:jc w:val="both"/>
        <w:rPr>
          <w:rFonts w:ascii="Arial" w:hAnsi="Arial" w:cs="Arial"/>
          <w:b/>
          <w:sz w:val="24"/>
          <w:szCs w:val="24"/>
          <w:lang w:val="es-BO"/>
        </w:rPr>
      </w:pPr>
    </w:p>
    <w:p w:rsidR="00620542" w:rsidRPr="00526208" w:rsidRDefault="00620542" w:rsidP="00993DD1">
      <w:pPr>
        <w:spacing w:after="0" w:line="240" w:lineRule="auto"/>
        <w:jc w:val="both"/>
        <w:rPr>
          <w:rFonts w:ascii="Arial" w:hAnsi="Arial" w:cs="Arial"/>
          <w:sz w:val="24"/>
          <w:szCs w:val="24"/>
          <w:lang w:val="es-BO"/>
        </w:rPr>
      </w:pPr>
      <w:r w:rsidRPr="00526208">
        <w:rPr>
          <w:rFonts w:ascii="Arial" w:hAnsi="Arial" w:cs="Arial"/>
          <w:sz w:val="24"/>
          <w:szCs w:val="24"/>
          <w:lang w:val="es-BO"/>
        </w:rPr>
        <w:t xml:space="preserve">Para una </w:t>
      </w:r>
      <w:r w:rsidR="004D44E3" w:rsidRPr="00526208">
        <w:rPr>
          <w:rFonts w:ascii="Arial" w:hAnsi="Arial" w:cs="Arial"/>
          <w:sz w:val="24"/>
          <w:szCs w:val="24"/>
          <w:lang w:val="es-BO"/>
        </w:rPr>
        <w:t xml:space="preserve">adecuada </w:t>
      </w:r>
      <w:r w:rsidRPr="00526208">
        <w:rPr>
          <w:rFonts w:ascii="Arial" w:hAnsi="Arial" w:cs="Arial"/>
          <w:sz w:val="24"/>
          <w:szCs w:val="24"/>
          <w:lang w:val="es-BO"/>
        </w:rPr>
        <w:t>administración del FON</w:t>
      </w:r>
      <w:r w:rsidR="001F0347">
        <w:rPr>
          <w:rFonts w:ascii="Arial" w:hAnsi="Arial" w:cs="Arial"/>
          <w:sz w:val="24"/>
          <w:szCs w:val="24"/>
          <w:lang w:val="es-BO"/>
        </w:rPr>
        <w:t>U</w:t>
      </w:r>
      <w:r w:rsidRPr="00526208">
        <w:rPr>
          <w:rFonts w:ascii="Arial" w:hAnsi="Arial" w:cs="Arial"/>
          <w:sz w:val="24"/>
          <w:szCs w:val="24"/>
          <w:lang w:val="es-BO"/>
        </w:rPr>
        <w:t xml:space="preserve">CyT, se recomienda aplicar de la siguiente </w:t>
      </w:r>
      <w:r w:rsidR="004D44E3" w:rsidRPr="00526208">
        <w:rPr>
          <w:rFonts w:ascii="Arial" w:hAnsi="Arial" w:cs="Arial"/>
          <w:sz w:val="24"/>
          <w:szCs w:val="24"/>
          <w:lang w:val="es-BO"/>
        </w:rPr>
        <w:t>estructura de distribución</w:t>
      </w:r>
      <w:r w:rsidR="00655BD9" w:rsidRPr="00526208">
        <w:rPr>
          <w:rFonts w:ascii="Arial" w:hAnsi="Arial" w:cs="Arial"/>
          <w:sz w:val="24"/>
          <w:szCs w:val="24"/>
          <w:lang w:val="es-BO"/>
        </w:rPr>
        <w:t xml:space="preserve"> de los recursos disponibles en el Fondo.</w:t>
      </w:r>
    </w:p>
    <w:p w:rsidR="00620542" w:rsidRPr="00526208" w:rsidRDefault="00620542" w:rsidP="00993DD1">
      <w:pPr>
        <w:spacing w:after="0" w:line="240" w:lineRule="auto"/>
        <w:jc w:val="both"/>
        <w:rPr>
          <w:rFonts w:ascii="Arial" w:hAnsi="Arial" w:cs="Arial"/>
          <w:sz w:val="24"/>
          <w:szCs w:val="24"/>
          <w:lang w:val="es-BO"/>
        </w:rPr>
      </w:pPr>
    </w:p>
    <w:p w:rsidR="00620542" w:rsidRDefault="00FB20DB" w:rsidP="00993DD1">
      <w:pPr>
        <w:pStyle w:val="Prrafodelista"/>
        <w:numPr>
          <w:ilvl w:val="0"/>
          <w:numId w:val="10"/>
        </w:numPr>
        <w:spacing w:after="0" w:line="240" w:lineRule="auto"/>
        <w:jc w:val="both"/>
        <w:rPr>
          <w:rFonts w:ascii="Arial" w:hAnsi="Arial" w:cs="Arial"/>
          <w:sz w:val="24"/>
          <w:szCs w:val="24"/>
          <w:lang w:val="es-BO"/>
        </w:rPr>
      </w:pPr>
      <w:r w:rsidRPr="00526208">
        <w:rPr>
          <w:rFonts w:ascii="Arial" w:hAnsi="Arial" w:cs="Arial"/>
          <w:sz w:val="24"/>
          <w:szCs w:val="24"/>
          <w:lang w:val="es-BO"/>
        </w:rPr>
        <w:t>Un máximo del 8</w:t>
      </w:r>
      <w:r w:rsidR="00620542" w:rsidRPr="00526208">
        <w:rPr>
          <w:rFonts w:ascii="Arial" w:hAnsi="Arial" w:cs="Arial"/>
          <w:sz w:val="24"/>
          <w:szCs w:val="24"/>
          <w:lang w:val="es-BO"/>
        </w:rPr>
        <w:t>%</w:t>
      </w:r>
      <w:r w:rsidR="004D44E3" w:rsidRPr="00526208">
        <w:rPr>
          <w:rFonts w:ascii="Arial" w:hAnsi="Arial" w:cs="Arial"/>
          <w:sz w:val="24"/>
          <w:szCs w:val="24"/>
          <w:lang w:val="es-BO"/>
        </w:rPr>
        <w:t xml:space="preserve"> anual</w:t>
      </w:r>
      <w:r w:rsidR="00655BD9" w:rsidRPr="00526208">
        <w:rPr>
          <w:rFonts w:ascii="Arial" w:hAnsi="Arial" w:cs="Arial"/>
          <w:sz w:val="24"/>
          <w:szCs w:val="24"/>
          <w:lang w:val="es-BO"/>
        </w:rPr>
        <w:t xml:space="preserve"> de los recursos del </w:t>
      </w:r>
      <w:r w:rsidR="00620542" w:rsidRPr="00526208">
        <w:rPr>
          <w:rFonts w:ascii="Arial" w:hAnsi="Arial" w:cs="Arial"/>
          <w:sz w:val="24"/>
          <w:szCs w:val="24"/>
          <w:lang w:val="es-BO"/>
        </w:rPr>
        <w:t>FON</w:t>
      </w:r>
      <w:r w:rsidR="001F0347">
        <w:rPr>
          <w:rFonts w:ascii="Arial" w:hAnsi="Arial" w:cs="Arial"/>
          <w:sz w:val="24"/>
          <w:szCs w:val="24"/>
          <w:lang w:val="es-BO"/>
        </w:rPr>
        <w:t>U</w:t>
      </w:r>
      <w:r w:rsidR="00620542" w:rsidRPr="00526208">
        <w:rPr>
          <w:rFonts w:ascii="Arial" w:hAnsi="Arial" w:cs="Arial"/>
          <w:sz w:val="24"/>
          <w:szCs w:val="24"/>
          <w:lang w:val="es-BO"/>
        </w:rPr>
        <w:t>CyT para gastos de funcionamiento (personal y costos operativos</w:t>
      </w:r>
      <w:r w:rsidR="008874EE" w:rsidRPr="00526208">
        <w:rPr>
          <w:rFonts w:ascii="Arial" w:hAnsi="Arial" w:cs="Arial"/>
          <w:sz w:val="24"/>
          <w:szCs w:val="24"/>
          <w:lang w:val="es-BO"/>
        </w:rPr>
        <w:t>)</w:t>
      </w:r>
      <w:r w:rsidR="00655BD9" w:rsidRPr="00526208">
        <w:rPr>
          <w:rFonts w:ascii="Arial" w:hAnsi="Arial" w:cs="Arial"/>
          <w:sz w:val="24"/>
          <w:szCs w:val="24"/>
          <w:lang w:val="es-BO"/>
        </w:rPr>
        <w:t xml:space="preserve">, porcentaje que debe ir disminuyendo a medida que se logre apalancar mayores recursos financieros. </w:t>
      </w:r>
    </w:p>
    <w:p w:rsidR="001F0347" w:rsidRPr="00526208" w:rsidRDefault="001F0347" w:rsidP="00993DD1">
      <w:pPr>
        <w:pStyle w:val="Prrafodelista"/>
        <w:spacing w:after="0" w:line="240" w:lineRule="auto"/>
        <w:jc w:val="both"/>
        <w:rPr>
          <w:rFonts w:ascii="Arial" w:hAnsi="Arial" w:cs="Arial"/>
          <w:sz w:val="24"/>
          <w:szCs w:val="24"/>
          <w:lang w:val="es-BO"/>
        </w:rPr>
      </w:pPr>
    </w:p>
    <w:p w:rsidR="00EF424C" w:rsidRPr="00526208" w:rsidRDefault="00620542" w:rsidP="00993DD1">
      <w:pPr>
        <w:pStyle w:val="Prrafodelista"/>
        <w:numPr>
          <w:ilvl w:val="0"/>
          <w:numId w:val="10"/>
        </w:numPr>
        <w:spacing w:after="0" w:line="240" w:lineRule="auto"/>
        <w:jc w:val="both"/>
        <w:rPr>
          <w:rFonts w:ascii="Arial" w:hAnsi="Arial" w:cs="Arial"/>
          <w:sz w:val="24"/>
          <w:szCs w:val="24"/>
          <w:lang w:val="es-BO"/>
        </w:rPr>
      </w:pPr>
      <w:r w:rsidRPr="00526208">
        <w:rPr>
          <w:rFonts w:ascii="Arial" w:hAnsi="Arial" w:cs="Arial"/>
          <w:sz w:val="24"/>
          <w:szCs w:val="24"/>
          <w:lang w:val="es-BO"/>
        </w:rPr>
        <w:t>El monto restante</w:t>
      </w:r>
      <w:r w:rsidR="00FB20DB" w:rsidRPr="00526208">
        <w:rPr>
          <w:rFonts w:ascii="Arial" w:hAnsi="Arial" w:cs="Arial"/>
          <w:sz w:val="24"/>
          <w:szCs w:val="24"/>
          <w:lang w:val="es-BO"/>
        </w:rPr>
        <w:t xml:space="preserve"> (más del 92</w:t>
      </w:r>
      <w:r w:rsidR="004D44E3" w:rsidRPr="00526208">
        <w:rPr>
          <w:rFonts w:ascii="Arial" w:hAnsi="Arial" w:cs="Arial"/>
          <w:sz w:val="24"/>
          <w:szCs w:val="24"/>
          <w:lang w:val="es-BO"/>
        </w:rPr>
        <w:t>%)</w:t>
      </w:r>
      <w:r w:rsidRPr="00526208">
        <w:rPr>
          <w:rFonts w:ascii="Arial" w:hAnsi="Arial" w:cs="Arial"/>
          <w:sz w:val="24"/>
          <w:szCs w:val="24"/>
          <w:lang w:val="es-BO"/>
        </w:rPr>
        <w:t xml:space="preserve">, debe estar destinado </w:t>
      </w:r>
      <w:r w:rsidR="00EF424C" w:rsidRPr="00526208">
        <w:rPr>
          <w:rFonts w:ascii="Arial" w:hAnsi="Arial" w:cs="Arial"/>
          <w:sz w:val="24"/>
          <w:szCs w:val="24"/>
          <w:lang w:val="es-BO"/>
        </w:rPr>
        <w:t>al otorgamiento de apoyos para el crecimiento,</w:t>
      </w:r>
      <w:r w:rsidR="00584688" w:rsidRPr="00526208">
        <w:rPr>
          <w:rFonts w:ascii="Arial" w:hAnsi="Arial" w:cs="Arial"/>
          <w:sz w:val="24"/>
          <w:szCs w:val="24"/>
          <w:lang w:val="es-BO"/>
        </w:rPr>
        <w:t xml:space="preserve"> </w:t>
      </w:r>
      <w:r w:rsidR="00EF424C" w:rsidRPr="00526208">
        <w:rPr>
          <w:rFonts w:ascii="Arial" w:hAnsi="Arial" w:cs="Arial"/>
          <w:sz w:val="24"/>
          <w:szCs w:val="24"/>
          <w:lang w:val="es-BO"/>
        </w:rPr>
        <w:t>fortalecimiento y vinculación del sector de la ciencia, la tecnología y la innovación</w:t>
      </w:r>
      <w:r w:rsidR="00BD1A19" w:rsidRPr="00526208">
        <w:rPr>
          <w:rFonts w:ascii="Arial" w:hAnsi="Arial" w:cs="Arial"/>
          <w:sz w:val="24"/>
          <w:szCs w:val="24"/>
          <w:lang w:val="es-BO"/>
        </w:rPr>
        <w:t>. Estos apoyos se canalizan a través de programas, que</w:t>
      </w:r>
      <w:r w:rsidR="00EF424C" w:rsidRPr="00526208">
        <w:rPr>
          <w:rFonts w:ascii="Arial" w:hAnsi="Arial" w:cs="Arial"/>
          <w:sz w:val="24"/>
          <w:szCs w:val="24"/>
          <w:lang w:val="es-BO"/>
        </w:rPr>
        <w:t xml:space="preserve"> se clasifican en:</w:t>
      </w:r>
    </w:p>
    <w:p w:rsidR="000A3C5C" w:rsidRPr="00526208" w:rsidRDefault="000A3C5C" w:rsidP="00993DD1">
      <w:pPr>
        <w:spacing w:after="0" w:line="240" w:lineRule="auto"/>
        <w:jc w:val="both"/>
        <w:rPr>
          <w:rFonts w:ascii="Arial" w:hAnsi="Arial" w:cs="Arial"/>
          <w:sz w:val="24"/>
          <w:szCs w:val="24"/>
          <w:lang w:val="es-BO"/>
        </w:rPr>
      </w:pPr>
    </w:p>
    <w:p w:rsidR="00EF424C" w:rsidRPr="00526208" w:rsidRDefault="00EF424C" w:rsidP="00993DD1">
      <w:pPr>
        <w:pStyle w:val="Prrafodelista"/>
        <w:numPr>
          <w:ilvl w:val="0"/>
          <w:numId w:val="11"/>
        </w:numPr>
        <w:spacing w:after="0" w:line="240" w:lineRule="auto"/>
        <w:rPr>
          <w:rFonts w:ascii="Arial" w:hAnsi="Arial" w:cs="Arial"/>
          <w:sz w:val="24"/>
          <w:szCs w:val="24"/>
          <w:lang w:val="es-BO"/>
        </w:rPr>
      </w:pPr>
      <w:r w:rsidRPr="00526208">
        <w:rPr>
          <w:rFonts w:ascii="Arial" w:hAnsi="Arial" w:cs="Arial"/>
          <w:sz w:val="24"/>
          <w:szCs w:val="24"/>
          <w:lang w:val="es-BO"/>
        </w:rPr>
        <w:t xml:space="preserve">Programa de Apoyo </w:t>
      </w:r>
      <w:r w:rsidR="00584688" w:rsidRPr="00526208">
        <w:rPr>
          <w:rFonts w:ascii="Arial" w:hAnsi="Arial" w:cs="Arial"/>
          <w:sz w:val="24"/>
          <w:szCs w:val="24"/>
          <w:lang w:val="es-BO"/>
        </w:rPr>
        <w:t>a</w:t>
      </w:r>
      <w:r w:rsidR="00BD1A19" w:rsidRPr="00526208">
        <w:rPr>
          <w:rFonts w:ascii="Arial" w:hAnsi="Arial" w:cs="Arial"/>
          <w:sz w:val="24"/>
          <w:szCs w:val="24"/>
          <w:lang w:val="es-BO"/>
        </w:rPr>
        <w:t xml:space="preserve"> </w:t>
      </w:r>
      <w:r w:rsidR="00584688" w:rsidRPr="00526208">
        <w:rPr>
          <w:rFonts w:ascii="Arial" w:hAnsi="Arial" w:cs="Arial"/>
          <w:sz w:val="24"/>
          <w:szCs w:val="24"/>
          <w:lang w:val="es-BO"/>
        </w:rPr>
        <w:t>l</w:t>
      </w:r>
      <w:r w:rsidR="00BD1A19" w:rsidRPr="00526208">
        <w:rPr>
          <w:rFonts w:ascii="Arial" w:hAnsi="Arial" w:cs="Arial"/>
          <w:sz w:val="24"/>
          <w:szCs w:val="24"/>
          <w:lang w:val="es-BO"/>
        </w:rPr>
        <w:t>a</w:t>
      </w:r>
      <w:r w:rsidR="00584688" w:rsidRPr="00526208">
        <w:rPr>
          <w:rFonts w:ascii="Arial" w:hAnsi="Arial" w:cs="Arial"/>
          <w:sz w:val="24"/>
          <w:szCs w:val="24"/>
          <w:lang w:val="es-BO"/>
        </w:rPr>
        <w:t xml:space="preserve"> </w:t>
      </w:r>
      <w:r w:rsidR="00BD1A19" w:rsidRPr="00526208">
        <w:rPr>
          <w:rFonts w:ascii="Arial" w:hAnsi="Arial" w:cs="Arial"/>
          <w:sz w:val="24"/>
          <w:szCs w:val="24"/>
          <w:lang w:val="es-BO"/>
        </w:rPr>
        <w:t>Investigación Científica</w:t>
      </w:r>
      <w:r w:rsidR="0004783E" w:rsidRPr="00526208">
        <w:rPr>
          <w:rFonts w:ascii="Arial" w:hAnsi="Arial" w:cs="Arial"/>
          <w:sz w:val="24"/>
          <w:szCs w:val="24"/>
          <w:lang w:val="es-BO"/>
        </w:rPr>
        <w:t xml:space="preserve"> (PIC)</w:t>
      </w:r>
    </w:p>
    <w:p w:rsidR="00774578" w:rsidRPr="00526208" w:rsidRDefault="00A055C9" w:rsidP="00993DD1">
      <w:pPr>
        <w:pStyle w:val="Prrafodelista"/>
        <w:numPr>
          <w:ilvl w:val="0"/>
          <w:numId w:val="11"/>
        </w:numPr>
        <w:spacing w:after="0" w:line="240" w:lineRule="auto"/>
        <w:rPr>
          <w:rFonts w:ascii="Arial" w:hAnsi="Arial" w:cs="Arial"/>
          <w:sz w:val="24"/>
          <w:szCs w:val="24"/>
          <w:lang w:val="es-BO"/>
        </w:rPr>
      </w:pPr>
      <w:r w:rsidRPr="00526208">
        <w:rPr>
          <w:rFonts w:ascii="Arial" w:hAnsi="Arial" w:cs="Arial"/>
          <w:sz w:val="24"/>
          <w:szCs w:val="24"/>
          <w:lang w:val="es-BO"/>
        </w:rPr>
        <w:t>Programa d</w:t>
      </w:r>
      <w:r w:rsidR="00587905" w:rsidRPr="00526208">
        <w:rPr>
          <w:rFonts w:ascii="Arial" w:hAnsi="Arial" w:cs="Arial"/>
          <w:sz w:val="24"/>
          <w:szCs w:val="24"/>
          <w:lang w:val="es-BO"/>
        </w:rPr>
        <w:t>e</w:t>
      </w:r>
      <w:r w:rsidRPr="00526208">
        <w:rPr>
          <w:rFonts w:ascii="Arial" w:hAnsi="Arial" w:cs="Arial"/>
          <w:sz w:val="24"/>
          <w:szCs w:val="24"/>
          <w:lang w:val="es-BO"/>
        </w:rPr>
        <w:t xml:space="preserve"> Apoyo a</w:t>
      </w:r>
      <w:r w:rsidR="00584688" w:rsidRPr="00526208">
        <w:rPr>
          <w:rFonts w:ascii="Arial" w:hAnsi="Arial" w:cs="Arial"/>
          <w:sz w:val="24"/>
          <w:szCs w:val="24"/>
          <w:lang w:val="es-BO"/>
        </w:rPr>
        <w:t xml:space="preserve">l Desarrollo Tecnológico e </w:t>
      </w:r>
      <w:r w:rsidRPr="00526208">
        <w:rPr>
          <w:rFonts w:ascii="Arial" w:hAnsi="Arial" w:cs="Arial"/>
          <w:sz w:val="24"/>
          <w:szCs w:val="24"/>
          <w:lang w:val="es-BO"/>
        </w:rPr>
        <w:t>Innovación</w:t>
      </w:r>
      <w:r w:rsidR="0004783E" w:rsidRPr="00526208">
        <w:rPr>
          <w:rFonts w:ascii="Arial" w:hAnsi="Arial" w:cs="Arial"/>
          <w:sz w:val="24"/>
          <w:szCs w:val="24"/>
          <w:lang w:val="es-BO"/>
        </w:rPr>
        <w:t xml:space="preserve"> (P</w:t>
      </w:r>
      <w:r w:rsidR="005F7539" w:rsidRPr="00526208">
        <w:rPr>
          <w:rFonts w:ascii="Arial" w:hAnsi="Arial" w:cs="Arial"/>
          <w:sz w:val="24"/>
          <w:szCs w:val="24"/>
          <w:lang w:val="es-BO"/>
        </w:rPr>
        <w:t>IN</w:t>
      </w:r>
      <w:r w:rsidR="0004783E" w:rsidRPr="00526208">
        <w:rPr>
          <w:rFonts w:ascii="Arial" w:hAnsi="Arial" w:cs="Arial"/>
          <w:sz w:val="24"/>
          <w:szCs w:val="24"/>
          <w:lang w:val="es-BO"/>
        </w:rPr>
        <w:t>)</w:t>
      </w:r>
    </w:p>
    <w:p w:rsidR="00A055C9" w:rsidRPr="00526208" w:rsidRDefault="00A055C9" w:rsidP="00993DD1">
      <w:pPr>
        <w:pStyle w:val="Prrafodelista"/>
        <w:numPr>
          <w:ilvl w:val="0"/>
          <w:numId w:val="11"/>
        </w:numPr>
        <w:spacing w:after="0" w:line="240" w:lineRule="auto"/>
        <w:rPr>
          <w:rFonts w:ascii="Arial" w:hAnsi="Arial" w:cs="Arial"/>
          <w:sz w:val="24"/>
          <w:szCs w:val="24"/>
          <w:lang w:val="es-BO"/>
        </w:rPr>
      </w:pPr>
      <w:r w:rsidRPr="00526208">
        <w:rPr>
          <w:rFonts w:ascii="Arial" w:hAnsi="Arial" w:cs="Arial"/>
          <w:sz w:val="24"/>
          <w:szCs w:val="24"/>
          <w:lang w:val="es-BO"/>
        </w:rPr>
        <w:t xml:space="preserve">Programa de </w:t>
      </w:r>
      <w:r w:rsidR="00584688" w:rsidRPr="00526208">
        <w:rPr>
          <w:rFonts w:ascii="Arial" w:hAnsi="Arial" w:cs="Arial"/>
          <w:sz w:val="24"/>
          <w:szCs w:val="24"/>
          <w:lang w:val="es-BO"/>
        </w:rPr>
        <w:t>Apoyo a la Formación de Talento Humano</w:t>
      </w:r>
      <w:r w:rsidR="0004783E" w:rsidRPr="00526208">
        <w:rPr>
          <w:rFonts w:ascii="Arial" w:hAnsi="Arial" w:cs="Arial"/>
          <w:sz w:val="24"/>
          <w:szCs w:val="24"/>
          <w:lang w:val="es-BO"/>
        </w:rPr>
        <w:t xml:space="preserve"> (PTAL)</w:t>
      </w:r>
    </w:p>
    <w:p w:rsidR="008B1225" w:rsidRDefault="008B1225" w:rsidP="00993DD1">
      <w:pPr>
        <w:pStyle w:val="Prrafodelista"/>
        <w:numPr>
          <w:ilvl w:val="0"/>
          <w:numId w:val="11"/>
        </w:numPr>
        <w:spacing w:after="0" w:line="240" w:lineRule="auto"/>
        <w:rPr>
          <w:rFonts w:ascii="Arial" w:hAnsi="Arial" w:cs="Arial"/>
          <w:sz w:val="24"/>
          <w:szCs w:val="24"/>
          <w:lang w:val="es-BO"/>
        </w:rPr>
      </w:pPr>
      <w:r>
        <w:rPr>
          <w:rFonts w:ascii="Arial" w:hAnsi="Arial" w:cs="Arial"/>
          <w:sz w:val="24"/>
          <w:szCs w:val="24"/>
          <w:lang w:val="es-BO"/>
        </w:rPr>
        <w:t>Programa Estratégico de Desarrollo del Conocimiento</w:t>
      </w:r>
    </w:p>
    <w:p w:rsidR="00620542" w:rsidRPr="008B1225" w:rsidRDefault="002C0FFD" w:rsidP="00993DD1">
      <w:pPr>
        <w:pStyle w:val="Prrafodelista"/>
        <w:numPr>
          <w:ilvl w:val="1"/>
          <w:numId w:val="41"/>
        </w:numPr>
        <w:spacing w:after="0" w:line="240" w:lineRule="auto"/>
        <w:rPr>
          <w:rFonts w:ascii="Arial" w:hAnsi="Arial" w:cs="Arial"/>
          <w:color w:val="000000" w:themeColor="text1"/>
          <w:sz w:val="24"/>
          <w:szCs w:val="24"/>
          <w:lang w:val="es-BO"/>
        </w:rPr>
      </w:pPr>
      <w:r w:rsidRPr="008B1225">
        <w:rPr>
          <w:rFonts w:ascii="Arial" w:hAnsi="Arial" w:cs="Arial"/>
          <w:color w:val="000000" w:themeColor="text1"/>
          <w:sz w:val="24"/>
          <w:szCs w:val="24"/>
          <w:lang w:val="es-BO"/>
        </w:rPr>
        <w:t xml:space="preserve">Programa </w:t>
      </w:r>
      <w:r w:rsidR="008B1225" w:rsidRPr="008B1225">
        <w:rPr>
          <w:rFonts w:ascii="Arial" w:hAnsi="Arial" w:cs="Arial"/>
          <w:color w:val="000000" w:themeColor="text1"/>
          <w:sz w:val="24"/>
          <w:szCs w:val="24"/>
          <w:lang w:val="es-BO"/>
        </w:rPr>
        <w:t>de Emergencia de Mitigación y A</w:t>
      </w:r>
      <w:r w:rsidR="00D80267" w:rsidRPr="008B1225">
        <w:rPr>
          <w:rFonts w:ascii="Arial" w:hAnsi="Arial" w:cs="Arial"/>
          <w:color w:val="000000" w:themeColor="text1"/>
          <w:sz w:val="24"/>
          <w:szCs w:val="24"/>
          <w:lang w:val="es-BO"/>
        </w:rPr>
        <w:t>daptación al</w:t>
      </w:r>
      <w:r w:rsidR="00620542" w:rsidRPr="008B1225">
        <w:rPr>
          <w:rFonts w:ascii="Arial" w:hAnsi="Arial" w:cs="Arial"/>
          <w:color w:val="000000" w:themeColor="text1"/>
          <w:sz w:val="24"/>
          <w:szCs w:val="24"/>
          <w:lang w:val="es-BO"/>
        </w:rPr>
        <w:t xml:space="preserve"> Cambio Climático</w:t>
      </w:r>
      <w:r w:rsidR="0004783E" w:rsidRPr="008B1225">
        <w:rPr>
          <w:rFonts w:ascii="Arial" w:hAnsi="Arial" w:cs="Arial"/>
          <w:color w:val="000000" w:themeColor="text1"/>
          <w:sz w:val="24"/>
          <w:szCs w:val="24"/>
          <w:lang w:val="es-BO"/>
        </w:rPr>
        <w:t xml:space="preserve"> (P</w:t>
      </w:r>
      <w:r w:rsidR="008B1225">
        <w:rPr>
          <w:rFonts w:ascii="Arial" w:hAnsi="Arial" w:cs="Arial"/>
          <w:color w:val="000000" w:themeColor="text1"/>
          <w:sz w:val="24"/>
          <w:szCs w:val="24"/>
          <w:lang w:val="es-BO"/>
        </w:rPr>
        <w:t>EMA</w:t>
      </w:r>
      <w:r w:rsidR="0004783E" w:rsidRPr="008B1225">
        <w:rPr>
          <w:rFonts w:ascii="Arial" w:hAnsi="Arial" w:cs="Arial"/>
          <w:color w:val="000000" w:themeColor="text1"/>
          <w:sz w:val="24"/>
          <w:szCs w:val="24"/>
          <w:lang w:val="es-BO"/>
        </w:rPr>
        <w:t>CC)</w:t>
      </w:r>
    </w:p>
    <w:p w:rsidR="001F0347" w:rsidRPr="008B1225" w:rsidRDefault="0004783E" w:rsidP="00993DD1">
      <w:pPr>
        <w:pStyle w:val="Prrafodelista"/>
        <w:numPr>
          <w:ilvl w:val="1"/>
          <w:numId w:val="41"/>
        </w:numPr>
        <w:spacing w:after="0" w:line="240" w:lineRule="auto"/>
        <w:rPr>
          <w:rFonts w:ascii="Arial" w:hAnsi="Arial" w:cs="Arial"/>
          <w:color w:val="000000" w:themeColor="text1"/>
          <w:sz w:val="24"/>
          <w:szCs w:val="24"/>
          <w:lang w:val="es-BO"/>
        </w:rPr>
      </w:pPr>
      <w:r w:rsidRPr="008B1225">
        <w:rPr>
          <w:rFonts w:ascii="Arial" w:hAnsi="Arial" w:cs="Arial"/>
          <w:color w:val="000000" w:themeColor="text1"/>
          <w:sz w:val="24"/>
          <w:szCs w:val="24"/>
          <w:lang w:val="es-BO"/>
        </w:rPr>
        <w:t>Programa de Apoyo al Sector de</w:t>
      </w:r>
      <w:r w:rsidR="008B1225">
        <w:rPr>
          <w:rFonts w:ascii="Arial" w:hAnsi="Arial" w:cs="Arial"/>
          <w:color w:val="000000" w:themeColor="text1"/>
          <w:sz w:val="24"/>
          <w:szCs w:val="24"/>
          <w:lang w:val="es-BO"/>
        </w:rPr>
        <w:t xml:space="preserve">l Software, </w:t>
      </w:r>
      <w:r w:rsidR="00E565C8" w:rsidRPr="008B1225">
        <w:rPr>
          <w:rFonts w:ascii="Arial" w:hAnsi="Arial" w:cs="Arial"/>
          <w:color w:val="000000" w:themeColor="text1"/>
          <w:sz w:val="24"/>
          <w:szCs w:val="24"/>
          <w:lang w:val="es-BO"/>
        </w:rPr>
        <w:t>Microelectrónica</w:t>
      </w:r>
      <w:r w:rsidR="005F7539" w:rsidRPr="008B1225">
        <w:rPr>
          <w:rFonts w:ascii="Arial" w:hAnsi="Arial" w:cs="Arial"/>
          <w:color w:val="000000" w:themeColor="text1"/>
          <w:sz w:val="24"/>
          <w:szCs w:val="24"/>
          <w:lang w:val="es-BO"/>
        </w:rPr>
        <w:t xml:space="preserve"> y Telecomunicaciones (</w:t>
      </w:r>
      <w:r w:rsidR="008B1225">
        <w:rPr>
          <w:rFonts w:ascii="Arial" w:hAnsi="Arial" w:cs="Arial"/>
          <w:color w:val="000000" w:themeColor="text1"/>
          <w:sz w:val="24"/>
          <w:szCs w:val="24"/>
          <w:lang w:val="es-BO"/>
        </w:rPr>
        <w:t>SOF</w:t>
      </w:r>
      <w:r w:rsidR="005F7539" w:rsidRPr="008B1225">
        <w:rPr>
          <w:rFonts w:ascii="Arial" w:hAnsi="Arial" w:cs="Arial"/>
          <w:color w:val="000000" w:themeColor="text1"/>
          <w:sz w:val="24"/>
          <w:szCs w:val="24"/>
          <w:lang w:val="es-BO"/>
        </w:rPr>
        <w:t>TEL</w:t>
      </w:r>
      <w:r w:rsidRPr="008B1225">
        <w:rPr>
          <w:rFonts w:ascii="Arial" w:hAnsi="Arial" w:cs="Arial"/>
          <w:color w:val="000000" w:themeColor="text1"/>
          <w:sz w:val="24"/>
          <w:szCs w:val="24"/>
          <w:lang w:val="es-BO"/>
        </w:rPr>
        <w:t>)</w:t>
      </w:r>
      <w:r w:rsidR="00D80267" w:rsidRPr="008B1225">
        <w:rPr>
          <w:rFonts w:ascii="Arial" w:hAnsi="Arial" w:cs="Arial"/>
          <w:color w:val="000000" w:themeColor="text1"/>
          <w:sz w:val="24"/>
          <w:szCs w:val="24"/>
          <w:lang w:val="es-BO"/>
        </w:rPr>
        <w:t xml:space="preserve">  </w:t>
      </w:r>
    </w:p>
    <w:p w:rsidR="00E565C8" w:rsidRDefault="00E565C8" w:rsidP="00993DD1">
      <w:pPr>
        <w:pStyle w:val="Prrafodelista"/>
        <w:numPr>
          <w:ilvl w:val="1"/>
          <w:numId w:val="41"/>
        </w:numPr>
        <w:spacing w:after="0" w:line="240" w:lineRule="auto"/>
        <w:rPr>
          <w:rFonts w:ascii="Arial" w:hAnsi="Arial" w:cs="Arial"/>
          <w:color w:val="000000" w:themeColor="text1"/>
          <w:sz w:val="24"/>
          <w:szCs w:val="24"/>
          <w:lang w:val="es-BO"/>
        </w:rPr>
      </w:pPr>
      <w:r w:rsidRPr="008B1225">
        <w:rPr>
          <w:rFonts w:ascii="Arial" w:hAnsi="Arial" w:cs="Arial"/>
          <w:color w:val="000000" w:themeColor="text1"/>
          <w:sz w:val="24"/>
          <w:szCs w:val="24"/>
          <w:lang w:val="es-BO"/>
        </w:rPr>
        <w:t>Programa</w:t>
      </w:r>
      <w:r w:rsidR="00D80267" w:rsidRPr="008B1225">
        <w:rPr>
          <w:rFonts w:ascii="Arial" w:hAnsi="Arial" w:cs="Arial"/>
          <w:color w:val="000000" w:themeColor="text1"/>
          <w:sz w:val="24"/>
          <w:szCs w:val="24"/>
          <w:lang w:val="es-BO"/>
        </w:rPr>
        <w:t xml:space="preserve"> Energías Renovables</w:t>
      </w:r>
      <w:r w:rsidR="008B1225">
        <w:rPr>
          <w:rFonts w:ascii="Arial" w:hAnsi="Arial" w:cs="Arial"/>
          <w:color w:val="000000" w:themeColor="text1"/>
          <w:sz w:val="24"/>
          <w:szCs w:val="24"/>
          <w:lang w:val="es-BO"/>
        </w:rPr>
        <w:t xml:space="preserve"> (ENRE)</w:t>
      </w:r>
    </w:p>
    <w:p w:rsidR="008B1225" w:rsidRDefault="008B1225" w:rsidP="00993DD1">
      <w:pPr>
        <w:spacing w:after="0" w:line="240" w:lineRule="auto"/>
        <w:rPr>
          <w:rFonts w:ascii="Arial" w:hAnsi="Arial" w:cs="Arial"/>
          <w:color w:val="000000" w:themeColor="text1"/>
          <w:sz w:val="24"/>
          <w:szCs w:val="24"/>
          <w:lang w:val="es-BO"/>
        </w:rPr>
      </w:pPr>
    </w:p>
    <w:p w:rsidR="008B1225" w:rsidRDefault="008B1225" w:rsidP="00993DD1">
      <w:pPr>
        <w:spacing w:after="0" w:line="240" w:lineRule="auto"/>
        <w:jc w:val="both"/>
        <w:rPr>
          <w:rFonts w:ascii="Arial" w:hAnsi="Arial" w:cs="Arial"/>
          <w:color w:val="000000" w:themeColor="text1"/>
          <w:sz w:val="24"/>
          <w:szCs w:val="24"/>
          <w:lang w:val="es-BO"/>
        </w:rPr>
      </w:pPr>
      <w:r>
        <w:rPr>
          <w:rFonts w:ascii="Arial" w:hAnsi="Arial" w:cs="Arial"/>
          <w:color w:val="000000" w:themeColor="text1"/>
          <w:sz w:val="24"/>
          <w:szCs w:val="24"/>
          <w:lang w:val="es-BO"/>
        </w:rPr>
        <w:t>Los programas propuestos son de dos tipos: Programas de aplicación general (</w:t>
      </w:r>
      <w:r w:rsidR="001D752D">
        <w:rPr>
          <w:rFonts w:ascii="Arial" w:hAnsi="Arial" w:cs="Arial"/>
          <w:color w:val="000000" w:themeColor="text1"/>
          <w:sz w:val="24"/>
          <w:szCs w:val="24"/>
          <w:lang w:val="es-BO"/>
        </w:rPr>
        <w:t xml:space="preserve">PIC, </w:t>
      </w:r>
      <w:r>
        <w:rPr>
          <w:rFonts w:ascii="Arial" w:hAnsi="Arial" w:cs="Arial"/>
          <w:color w:val="000000" w:themeColor="text1"/>
          <w:sz w:val="24"/>
          <w:szCs w:val="24"/>
          <w:lang w:val="es-BO"/>
        </w:rPr>
        <w:t>PIN y PTAL) y los Programas Estratégico (PEMACC, SOFTEL y ENRE). La diferencia entre estos dos programas está en la prioridad y la cantidad de fondos a ser destinados para desarrollar procesos de investigación e innovación en cada uno de ellos. Los Programas Estratégicos son catalogados así debido a la importancia y el efecto disruptivo que tienen en la economía de las regiones y del país, por lo que se requiere canalizar recursos especiales en estas áreas de generación de conocimiento.</w:t>
      </w:r>
    </w:p>
    <w:p w:rsidR="00655BD9" w:rsidRDefault="00655BD9" w:rsidP="00993DD1">
      <w:pPr>
        <w:spacing w:after="0" w:line="240" w:lineRule="auto"/>
        <w:jc w:val="both"/>
        <w:rPr>
          <w:rFonts w:ascii="Arial" w:hAnsi="Arial" w:cs="Arial"/>
          <w:sz w:val="24"/>
          <w:szCs w:val="24"/>
          <w:lang w:val="es-BO"/>
        </w:rPr>
      </w:pPr>
    </w:p>
    <w:p w:rsidR="00993DD1" w:rsidRPr="00526208" w:rsidRDefault="00993DD1" w:rsidP="00993DD1">
      <w:pPr>
        <w:spacing w:after="0" w:line="240" w:lineRule="auto"/>
        <w:jc w:val="both"/>
        <w:rPr>
          <w:rFonts w:ascii="Arial" w:hAnsi="Arial" w:cs="Arial"/>
          <w:sz w:val="24"/>
          <w:szCs w:val="24"/>
          <w:lang w:val="es-BO"/>
        </w:rPr>
      </w:pPr>
    </w:p>
    <w:p w:rsidR="00655BD9" w:rsidRPr="00993DD1" w:rsidRDefault="00993DD1" w:rsidP="006F6142">
      <w:pPr>
        <w:pStyle w:val="Ttulo2"/>
        <w:rPr>
          <w:lang w:val="es-BO"/>
        </w:rPr>
      </w:pPr>
      <w:bookmarkStart w:id="8" w:name="_Toc471887278"/>
      <w:r>
        <w:rPr>
          <w:lang w:val="es-BO"/>
        </w:rPr>
        <w:t xml:space="preserve">5.1 </w:t>
      </w:r>
      <w:r w:rsidR="00655BD9" w:rsidRPr="00993DD1">
        <w:rPr>
          <w:lang w:val="es-BO"/>
        </w:rPr>
        <w:t>Programa de Apoyo a la Investigación Científica (PIC)</w:t>
      </w:r>
      <w:bookmarkEnd w:id="8"/>
    </w:p>
    <w:p w:rsidR="005F0C1B" w:rsidRPr="00526208" w:rsidRDefault="005F0C1B" w:rsidP="00526208">
      <w:pPr>
        <w:spacing w:after="0" w:line="240" w:lineRule="auto"/>
        <w:jc w:val="both"/>
        <w:rPr>
          <w:rFonts w:ascii="Arial" w:hAnsi="Arial" w:cs="Arial"/>
          <w:sz w:val="24"/>
          <w:szCs w:val="24"/>
          <w:lang w:val="es-BO"/>
        </w:rPr>
      </w:pPr>
    </w:p>
    <w:p w:rsidR="005F0C1B" w:rsidRPr="00526208" w:rsidRDefault="004D737B" w:rsidP="00526208">
      <w:pPr>
        <w:pStyle w:val="Default"/>
        <w:jc w:val="both"/>
        <w:rPr>
          <w:lang w:val="es-BO"/>
        </w:rPr>
      </w:pPr>
      <w:r w:rsidRPr="00526208">
        <w:rPr>
          <w:lang w:val="es-BO"/>
        </w:rPr>
        <w:t>Los Proyectos de Investigación Científica (PIC)</w:t>
      </w:r>
      <w:r w:rsidR="005F0C1B" w:rsidRPr="00526208">
        <w:rPr>
          <w:lang w:val="es-BO"/>
        </w:rPr>
        <w:t>,</w:t>
      </w:r>
      <w:r w:rsidRPr="00526208">
        <w:rPr>
          <w:lang w:val="es-BO"/>
        </w:rPr>
        <w:t xml:space="preserve"> </w:t>
      </w:r>
      <w:r w:rsidR="00893D60" w:rsidRPr="00526208">
        <w:rPr>
          <w:lang w:val="es-BO"/>
        </w:rPr>
        <w:t>pueden ser</w:t>
      </w:r>
      <w:r w:rsidR="005F0C1B" w:rsidRPr="00526208">
        <w:rPr>
          <w:lang w:val="es-BO"/>
        </w:rPr>
        <w:t>:</w:t>
      </w:r>
    </w:p>
    <w:p w:rsidR="005F0C1B" w:rsidRPr="00526208" w:rsidRDefault="005F0C1B" w:rsidP="00526208">
      <w:pPr>
        <w:pStyle w:val="Default"/>
        <w:jc w:val="both"/>
        <w:rPr>
          <w:lang w:val="es-BO"/>
        </w:rPr>
      </w:pPr>
    </w:p>
    <w:p w:rsidR="00893D60" w:rsidRPr="00526208" w:rsidRDefault="005F0C1B" w:rsidP="00526208">
      <w:pPr>
        <w:pStyle w:val="Default"/>
        <w:numPr>
          <w:ilvl w:val="0"/>
          <w:numId w:val="23"/>
        </w:numPr>
        <w:jc w:val="both"/>
        <w:rPr>
          <w:lang w:val="es-BO"/>
        </w:rPr>
      </w:pPr>
      <w:r w:rsidRPr="00526208">
        <w:rPr>
          <w:lang w:val="es-BO"/>
        </w:rPr>
        <w:lastRenderedPageBreak/>
        <w:t xml:space="preserve">Proyectos </w:t>
      </w:r>
      <w:r w:rsidR="00893D60" w:rsidRPr="00526208">
        <w:rPr>
          <w:lang w:val="es-BO"/>
        </w:rPr>
        <w:t>de Investigación Básica o Investigación Aplicada para generar conocimiento en áreas prioritarias y estratégicas, esto buscando generar una base científica para promover la vinculación con</w:t>
      </w:r>
      <w:r w:rsidR="004D737B" w:rsidRPr="00526208">
        <w:rPr>
          <w:lang w:val="es-BO"/>
        </w:rPr>
        <w:t xml:space="preserve"> los sectores productivos y sociales</w:t>
      </w:r>
      <w:r w:rsidR="00893D60" w:rsidRPr="00526208">
        <w:rPr>
          <w:lang w:val="es-BO"/>
        </w:rPr>
        <w:t xml:space="preserve"> (sociedad civil)</w:t>
      </w:r>
      <w:r w:rsidR="00993DD1">
        <w:rPr>
          <w:lang w:val="es-BO"/>
        </w:rPr>
        <w:t>.</w:t>
      </w:r>
    </w:p>
    <w:p w:rsidR="00893D60" w:rsidRPr="00526208" w:rsidRDefault="00893D60" w:rsidP="00526208">
      <w:pPr>
        <w:pStyle w:val="Default"/>
        <w:jc w:val="both"/>
        <w:rPr>
          <w:lang w:val="es-BO"/>
        </w:rPr>
      </w:pPr>
    </w:p>
    <w:p w:rsidR="00893D60" w:rsidRPr="00526208" w:rsidRDefault="005F0C1B" w:rsidP="00526208">
      <w:pPr>
        <w:pStyle w:val="Default"/>
        <w:numPr>
          <w:ilvl w:val="0"/>
          <w:numId w:val="23"/>
        </w:numPr>
        <w:jc w:val="both"/>
        <w:rPr>
          <w:lang w:val="es-BO"/>
        </w:rPr>
      </w:pPr>
      <w:r w:rsidRPr="00526208">
        <w:rPr>
          <w:lang w:val="es-BO"/>
        </w:rPr>
        <w:t xml:space="preserve">Proyectos de </w:t>
      </w:r>
      <w:r w:rsidR="00893D60" w:rsidRPr="00526208">
        <w:rPr>
          <w:lang w:val="es-BO"/>
        </w:rPr>
        <w:t xml:space="preserve">Investigación y Desarrollo, que están dirigidos a promover la articulación entre los grupos de investigación y los sectores productivos y sociales, apoyando las iniciativas orientadas a la obtención de resultados innovadores precompetitivos o de alto impacto social. Su objeto es favorecer que la investigación científica y tecnológica se oriente hacia aplicaciones que sean de interés de uno o más empresas o instituciones, promoviendo la generación de tecnología y su transferencia mejorando la interacción con los sectores productivos y sociales. </w:t>
      </w:r>
    </w:p>
    <w:p w:rsidR="005F0C1B" w:rsidRPr="00526208" w:rsidRDefault="005F0C1B" w:rsidP="00526208">
      <w:pPr>
        <w:pStyle w:val="Default"/>
        <w:jc w:val="both"/>
        <w:rPr>
          <w:lang w:val="es-BO"/>
        </w:rPr>
      </w:pPr>
    </w:p>
    <w:p w:rsidR="00893D60" w:rsidRPr="00526208" w:rsidRDefault="00893D60" w:rsidP="00526208">
      <w:pPr>
        <w:autoSpaceDE w:val="0"/>
        <w:autoSpaceDN w:val="0"/>
        <w:adjustRightInd w:val="0"/>
        <w:spacing w:after="0" w:line="240" w:lineRule="auto"/>
        <w:jc w:val="both"/>
        <w:rPr>
          <w:rFonts w:ascii="Arial" w:hAnsi="Arial" w:cs="Arial"/>
          <w:color w:val="000000"/>
          <w:sz w:val="24"/>
          <w:szCs w:val="24"/>
          <w:lang w:val="es-BO"/>
        </w:rPr>
      </w:pPr>
      <w:r w:rsidRPr="00526208">
        <w:rPr>
          <w:rFonts w:ascii="Arial" w:hAnsi="Arial" w:cs="Arial"/>
          <w:color w:val="000000"/>
          <w:sz w:val="24"/>
          <w:szCs w:val="24"/>
          <w:lang w:val="es-BO"/>
        </w:rPr>
        <w:t xml:space="preserve">Los </w:t>
      </w:r>
      <w:r w:rsidRPr="00526208">
        <w:rPr>
          <w:rFonts w:ascii="Arial" w:hAnsi="Arial" w:cs="Arial"/>
          <w:iCs/>
          <w:color w:val="000000"/>
          <w:sz w:val="24"/>
          <w:szCs w:val="24"/>
          <w:lang w:val="es-BO"/>
        </w:rPr>
        <w:t xml:space="preserve">beneficiarios </w:t>
      </w:r>
      <w:r w:rsidRPr="00526208">
        <w:rPr>
          <w:rFonts w:ascii="Arial" w:hAnsi="Arial" w:cs="Arial"/>
          <w:color w:val="000000"/>
          <w:sz w:val="24"/>
          <w:szCs w:val="24"/>
          <w:lang w:val="es-BO"/>
        </w:rPr>
        <w:t xml:space="preserve">de las subvenciones (financiamientos) serán </w:t>
      </w:r>
      <w:r w:rsidR="00993DD1">
        <w:rPr>
          <w:rFonts w:ascii="Arial" w:hAnsi="Arial" w:cs="Arial"/>
          <w:color w:val="000000"/>
          <w:sz w:val="24"/>
          <w:szCs w:val="24"/>
          <w:lang w:val="es-BO"/>
        </w:rPr>
        <w:t>para las instituciones públicas o p</w:t>
      </w:r>
      <w:r w:rsidRPr="00526208">
        <w:rPr>
          <w:rFonts w:ascii="Arial" w:hAnsi="Arial" w:cs="Arial"/>
          <w:color w:val="000000"/>
          <w:sz w:val="24"/>
          <w:szCs w:val="24"/>
          <w:lang w:val="es-BO"/>
        </w:rPr>
        <w:t>rivadas sin fines de lucro y radicadas en nuestro país, a las que pertenecen los grupos de investigación ejecutores de los proyectos</w:t>
      </w:r>
      <w:r w:rsidR="00993DD1">
        <w:rPr>
          <w:rFonts w:ascii="Arial" w:hAnsi="Arial" w:cs="Arial"/>
          <w:color w:val="000000"/>
          <w:sz w:val="24"/>
          <w:szCs w:val="24"/>
          <w:lang w:val="es-BO"/>
        </w:rPr>
        <w:t xml:space="preserve"> en coordinación con los otros actores</w:t>
      </w:r>
      <w:r w:rsidRPr="00526208">
        <w:rPr>
          <w:rFonts w:ascii="Arial" w:hAnsi="Arial" w:cs="Arial"/>
          <w:color w:val="000000"/>
          <w:sz w:val="24"/>
          <w:szCs w:val="24"/>
          <w:lang w:val="es-BO"/>
        </w:rPr>
        <w:t xml:space="preserve">. Las </w:t>
      </w:r>
      <w:r w:rsidR="00993DD1">
        <w:rPr>
          <w:rFonts w:ascii="Arial" w:hAnsi="Arial" w:cs="Arial"/>
          <w:iCs/>
          <w:color w:val="000000"/>
          <w:sz w:val="24"/>
          <w:szCs w:val="24"/>
          <w:lang w:val="es-BO"/>
        </w:rPr>
        <w:t>instituciones b</w:t>
      </w:r>
      <w:r w:rsidRPr="00526208">
        <w:rPr>
          <w:rFonts w:ascii="Arial" w:hAnsi="Arial" w:cs="Arial"/>
          <w:iCs/>
          <w:color w:val="000000"/>
          <w:sz w:val="24"/>
          <w:szCs w:val="24"/>
          <w:lang w:val="es-BO"/>
        </w:rPr>
        <w:t xml:space="preserve">eneficiarias </w:t>
      </w:r>
      <w:r w:rsidRPr="00526208">
        <w:rPr>
          <w:rFonts w:ascii="Arial" w:hAnsi="Arial" w:cs="Arial"/>
          <w:color w:val="000000"/>
          <w:sz w:val="24"/>
          <w:szCs w:val="24"/>
          <w:lang w:val="es-BO"/>
        </w:rPr>
        <w:t>deberán contar con personería jurídica y una adecuada capacidad legal, técnica y administrativa para asumir las obligaciones que derivan del beneficio.</w:t>
      </w:r>
    </w:p>
    <w:p w:rsidR="00893D60" w:rsidRPr="00526208" w:rsidRDefault="00893D60" w:rsidP="00526208">
      <w:pPr>
        <w:spacing w:after="0" w:line="240" w:lineRule="auto"/>
        <w:jc w:val="both"/>
        <w:rPr>
          <w:rFonts w:ascii="Arial" w:hAnsi="Arial" w:cs="Arial"/>
          <w:sz w:val="24"/>
          <w:szCs w:val="24"/>
          <w:lang w:val="es-BO"/>
        </w:rPr>
      </w:pPr>
    </w:p>
    <w:p w:rsidR="004D737B" w:rsidRDefault="00893D60" w:rsidP="00526208">
      <w:pPr>
        <w:spacing w:after="0" w:line="240" w:lineRule="auto"/>
        <w:jc w:val="both"/>
        <w:rPr>
          <w:rFonts w:ascii="Arial" w:hAnsi="Arial" w:cs="Arial"/>
          <w:sz w:val="24"/>
          <w:szCs w:val="24"/>
          <w:lang w:val="es-BO"/>
        </w:rPr>
      </w:pPr>
      <w:r w:rsidRPr="00526208">
        <w:rPr>
          <w:rFonts w:ascii="Arial" w:hAnsi="Arial" w:cs="Arial"/>
          <w:sz w:val="24"/>
          <w:szCs w:val="24"/>
          <w:lang w:val="es-BO"/>
        </w:rPr>
        <w:t>Los</w:t>
      </w:r>
      <w:r w:rsidR="004D737B" w:rsidRPr="00526208">
        <w:rPr>
          <w:rFonts w:ascii="Arial" w:hAnsi="Arial" w:cs="Arial"/>
          <w:sz w:val="24"/>
          <w:szCs w:val="24"/>
          <w:lang w:val="es-BO"/>
        </w:rPr>
        <w:t xml:space="preserve"> proyecto</w:t>
      </w:r>
      <w:r w:rsidRPr="00526208">
        <w:rPr>
          <w:rFonts w:ascii="Arial" w:hAnsi="Arial" w:cs="Arial"/>
          <w:sz w:val="24"/>
          <w:szCs w:val="24"/>
          <w:lang w:val="es-BO"/>
        </w:rPr>
        <w:t>s</w:t>
      </w:r>
      <w:r w:rsidR="004D737B" w:rsidRPr="00526208">
        <w:rPr>
          <w:rFonts w:ascii="Arial" w:hAnsi="Arial" w:cs="Arial"/>
          <w:sz w:val="24"/>
          <w:szCs w:val="24"/>
          <w:lang w:val="es-BO"/>
        </w:rPr>
        <w:t xml:space="preserve"> deberá</w:t>
      </w:r>
      <w:r w:rsidRPr="00526208">
        <w:rPr>
          <w:rFonts w:ascii="Arial" w:hAnsi="Arial" w:cs="Arial"/>
          <w:sz w:val="24"/>
          <w:szCs w:val="24"/>
          <w:lang w:val="es-BO"/>
        </w:rPr>
        <w:t>s</w:t>
      </w:r>
      <w:r w:rsidR="004D737B" w:rsidRPr="00526208">
        <w:rPr>
          <w:rFonts w:ascii="Arial" w:hAnsi="Arial" w:cs="Arial"/>
          <w:sz w:val="24"/>
          <w:szCs w:val="24"/>
          <w:lang w:val="es-BO"/>
        </w:rPr>
        <w:t xml:space="preserve"> presentarse, con la participación de uno o más</w:t>
      </w:r>
      <w:r w:rsidRPr="00526208">
        <w:rPr>
          <w:rFonts w:ascii="Arial" w:hAnsi="Arial" w:cs="Arial"/>
          <w:sz w:val="24"/>
          <w:szCs w:val="24"/>
          <w:lang w:val="es-BO"/>
        </w:rPr>
        <w:t xml:space="preserve"> </w:t>
      </w:r>
      <w:r w:rsidR="004D737B" w:rsidRPr="00526208">
        <w:rPr>
          <w:rFonts w:ascii="Arial" w:hAnsi="Arial" w:cs="Arial"/>
          <w:sz w:val="24"/>
          <w:szCs w:val="24"/>
          <w:lang w:val="es-BO"/>
        </w:rPr>
        <w:t>empresas productoras de bienes y/o servicios, organismos públicos o instituciones públicas o p</w:t>
      </w:r>
      <w:r w:rsidRPr="00526208">
        <w:rPr>
          <w:rFonts w:ascii="Arial" w:hAnsi="Arial" w:cs="Arial"/>
          <w:sz w:val="24"/>
          <w:szCs w:val="24"/>
          <w:lang w:val="es-BO"/>
        </w:rPr>
        <w:t>rivadas dispuestos a co</w:t>
      </w:r>
      <w:r w:rsidR="004D737B" w:rsidRPr="00526208">
        <w:rPr>
          <w:rFonts w:ascii="Arial" w:hAnsi="Arial" w:cs="Arial"/>
          <w:sz w:val="24"/>
          <w:szCs w:val="24"/>
          <w:lang w:val="es-BO"/>
        </w:rPr>
        <w:t>financiarlo parcialmente y a tener la prioridad de una eventual adopción de sus resultados.</w:t>
      </w:r>
    </w:p>
    <w:p w:rsidR="00993DD1" w:rsidRDefault="00993DD1" w:rsidP="00526208">
      <w:pPr>
        <w:spacing w:after="0" w:line="240" w:lineRule="auto"/>
        <w:jc w:val="both"/>
        <w:rPr>
          <w:rFonts w:ascii="Arial" w:hAnsi="Arial" w:cs="Arial"/>
          <w:sz w:val="24"/>
          <w:szCs w:val="24"/>
          <w:lang w:val="es-BO"/>
        </w:rPr>
      </w:pPr>
    </w:p>
    <w:p w:rsidR="00993DD1" w:rsidRPr="00526208" w:rsidRDefault="00993DD1" w:rsidP="00993DD1">
      <w:pPr>
        <w:pStyle w:val="Default"/>
        <w:jc w:val="both"/>
        <w:rPr>
          <w:color w:val="auto"/>
          <w:lang w:val="es-BO"/>
        </w:rPr>
      </w:pPr>
      <w:r w:rsidRPr="00526208">
        <w:rPr>
          <w:color w:val="auto"/>
          <w:lang w:val="es-BO"/>
        </w:rPr>
        <w:t>Los montos de subsidio financiados por el FON</w:t>
      </w:r>
      <w:r>
        <w:rPr>
          <w:color w:val="auto"/>
          <w:lang w:val="es-BO"/>
        </w:rPr>
        <w:t>U</w:t>
      </w:r>
      <w:r w:rsidRPr="00526208">
        <w:rPr>
          <w:color w:val="auto"/>
          <w:lang w:val="es-BO"/>
        </w:rPr>
        <w:t>CyT corresponderán a un máximo del 70% de monto requerido en el proyecto, el resto del monto debe ser contraparte de la empresas públicas o privadas que aplican a este Programa</w:t>
      </w:r>
      <w:r>
        <w:rPr>
          <w:color w:val="auto"/>
          <w:lang w:val="es-BO"/>
        </w:rPr>
        <w:t xml:space="preserve">, aportes que pueden ser en efectivo o </w:t>
      </w:r>
      <w:r w:rsidR="00A26FBD">
        <w:rPr>
          <w:color w:val="auto"/>
          <w:lang w:val="es-BO"/>
        </w:rPr>
        <w:t>no</w:t>
      </w:r>
      <w:r w:rsidRPr="00526208">
        <w:rPr>
          <w:color w:val="auto"/>
          <w:lang w:val="es-BO"/>
        </w:rPr>
        <w:t>.</w:t>
      </w:r>
    </w:p>
    <w:p w:rsidR="00993DD1" w:rsidRPr="00526208" w:rsidRDefault="00993DD1" w:rsidP="00526208">
      <w:pPr>
        <w:spacing w:after="0" w:line="240" w:lineRule="auto"/>
        <w:jc w:val="both"/>
        <w:rPr>
          <w:rFonts w:ascii="Arial" w:hAnsi="Arial" w:cs="Arial"/>
          <w:sz w:val="24"/>
          <w:szCs w:val="24"/>
          <w:lang w:val="es-BO"/>
        </w:rPr>
      </w:pPr>
    </w:p>
    <w:p w:rsidR="00655BD9" w:rsidRPr="00526208" w:rsidRDefault="00655BD9" w:rsidP="00526208">
      <w:pPr>
        <w:spacing w:after="0" w:line="240" w:lineRule="auto"/>
        <w:jc w:val="both"/>
        <w:rPr>
          <w:rFonts w:ascii="Arial" w:hAnsi="Arial" w:cs="Arial"/>
          <w:sz w:val="24"/>
          <w:szCs w:val="24"/>
          <w:lang w:val="es-BO"/>
        </w:rPr>
      </w:pPr>
    </w:p>
    <w:p w:rsidR="00655BD9" w:rsidRPr="00993DD1" w:rsidRDefault="00993DD1" w:rsidP="006F6142">
      <w:pPr>
        <w:pStyle w:val="Ttulo2"/>
        <w:rPr>
          <w:lang w:val="es-BO"/>
        </w:rPr>
      </w:pPr>
      <w:bookmarkStart w:id="9" w:name="_Toc471887279"/>
      <w:r>
        <w:rPr>
          <w:lang w:val="es-BO"/>
        </w:rPr>
        <w:t xml:space="preserve">5.2 </w:t>
      </w:r>
      <w:r w:rsidR="00655BD9" w:rsidRPr="00993DD1">
        <w:rPr>
          <w:lang w:val="es-BO"/>
        </w:rPr>
        <w:t>Programa de Apoyo al Desarrollo Tecnológico e Innovación (PIN)</w:t>
      </w:r>
      <w:bookmarkEnd w:id="9"/>
    </w:p>
    <w:p w:rsidR="004D737B" w:rsidRPr="00526208" w:rsidRDefault="004D737B" w:rsidP="00526208">
      <w:pPr>
        <w:pStyle w:val="Default"/>
        <w:jc w:val="both"/>
        <w:rPr>
          <w:lang w:val="es-BO"/>
        </w:rPr>
      </w:pPr>
    </w:p>
    <w:p w:rsidR="005F0C1B" w:rsidRPr="00526208" w:rsidRDefault="005F0C1B" w:rsidP="00526208">
      <w:pPr>
        <w:pStyle w:val="Default"/>
        <w:jc w:val="both"/>
        <w:rPr>
          <w:lang w:val="es-BO"/>
        </w:rPr>
      </w:pPr>
      <w:r w:rsidRPr="00526208">
        <w:rPr>
          <w:lang w:val="es-BO"/>
        </w:rPr>
        <w:t>Los Proyectos de Desarrollo Tecnológico e Innovación, pueden ser:</w:t>
      </w:r>
    </w:p>
    <w:p w:rsidR="005F0C1B" w:rsidRPr="00526208" w:rsidRDefault="005F0C1B" w:rsidP="00526208">
      <w:pPr>
        <w:pStyle w:val="Default"/>
        <w:jc w:val="both"/>
        <w:rPr>
          <w:lang w:val="es-BO"/>
        </w:rPr>
      </w:pPr>
    </w:p>
    <w:p w:rsidR="005F0C1B" w:rsidRPr="00526208" w:rsidRDefault="005F0C1B" w:rsidP="00526208">
      <w:pPr>
        <w:pStyle w:val="Prrafodelista"/>
        <w:numPr>
          <w:ilvl w:val="0"/>
          <w:numId w:val="22"/>
        </w:numPr>
        <w:autoSpaceDE w:val="0"/>
        <w:autoSpaceDN w:val="0"/>
        <w:adjustRightInd w:val="0"/>
        <w:spacing w:after="0" w:line="240" w:lineRule="auto"/>
        <w:jc w:val="both"/>
        <w:rPr>
          <w:rFonts w:ascii="Arial" w:hAnsi="Arial" w:cs="Arial"/>
          <w:color w:val="000000"/>
          <w:sz w:val="24"/>
          <w:szCs w:val="24"/>
          <w:lang w:val="es-BO"/>
        </w:rPr>
      </w:pPr>
      <w:r w:rsidRPr="00526208">
        <w:rPr>
          <w:rFonts w:ascii="Arial" w:hAnsi="Arial" w:cs="Arial"/>
          <w:color w:val="000000"/>
          <w:sz w:val="24"/>
          <w:szCs w:val="24"/>
          <w:lang w:val="es-BO"/>
        </w:rPr>
        <w:t xml:space="preserve">Proyectos de Innovación presentado por micro, pequeñas y medianas empresas constituidas en Bolivia y que estén inscritas en el Registro del Sistema </w:t>
      </w:r>
      <w:r w:rsidR="00993DD1">
        <w:rPr>
          <w:rFonts w:ascii="Arial" w:hAnsi="Arial" w:cs="Arial"/>
          <w:color w:val="000000"/>
          <w:sz w:val="24"/>
          <w:szCs w:val="24"/>
          <w:lang w:val="es-BO"/>
        </w:rPr>
        <w:t>Universitario Investigación</w:t>
      </w:r>
      <w:r w:rsidRPr="00526208">
        <w:rPr>
          <w:rFonts w:ascii="Arial" w:hAnsi="Arial" w:cs="Arial"/>
          <w:color w:val="000000"/>
          <w:sz w:val="24"/>
          <w:szCs w:val="24"/>
          <w:lang w:val="es-BO"/>
        </w:rPr>
        <w:t xml:space="preserve"> e Innovación (RES</w:t>
      </w:r>
      <w:r w:rsidR="00993DD1">
        <w:rPr>
          <w:rFonts w:ascii="Arial" w:hAnsi="Arial" w:cs="Arial"/>
          <w:color w:val="000000"/>
          <w:sz w:val="24"/>
          <w:szCs w:val="24"/>
          <w:lang w:val="es-BO"/>
        </w:rPr>
        <w:t>UII</w:t>
      </w:r>
      <w:r w:rsidRPr="00526208">
        <w:rPr>
          <w:rFonts w:ascii="Arial" w:hAnsi="Arial" w:cs="Arial"/>
          <w:color w:val="000000"/>
          <w:sz w:val="24"/>
          <w:szCs w:val="24"/>
          <w:lang w:val="es-BO"/>
        </w:rPr>
        <w:t xml:space="preserve">), que demuestren que tienen interés en innovar sus procesos o productos para </w:t>
      </w:r>
      <w:r w:rsidR="00993DD1">
        <w:rPr>
          <w:rFonts w:ascii="Arial" w:hAnsi="Arial" w:cs="Arial"/>
          <w:color w:val="000000"/>
          <w:sz w:val="24"/>
          <w:szCs w:val="24"/>
          <w:lang w:val="es-BO"/>
        </w:rPr>
        <w:t>la</w:t>
      </w:r>
      <w:r w:rsidRPr="00526208">
        <w:rPr>
          <w:rFonts w:ascii="Arial" w:hAnsi="Arial" w:cs="Arial"/>
          <w:color w:val="000000"/>
          <w:sz w:val="24"/>
          <w:szCs w:val="24"/>
          <w:lang w:val="es-BO"/>
        </w:rPr>
        <w:t xml:space="preserve"> contratación </w:t>
      </w:r>
      <w:r w:rsidR="00993DD1">
        <w:rPr>
          <w:rFonts w:ascii="Arial" w:hAnsi="Arial" w:cs="Arial"/>
          <w:color w:val="000000"/>
          <w:sz w:val="24"/>
          <w:szCs w:val="24"/>
          <w:lang w:val="es-BO"/>
        </w:rPr>
        <w:t>o participación de actores del Sector Académico en procesos de</w:t>
      </w:r>
      <w:r w:rsidRPr="00526208">
        <w:rPr>
          <w:rFonts w:ascii="Arial" w:hAnsi="Arial" w:cs="Arial"/>
          <w:color w:val="000000"/>
          <w:sz w:val="24"/>
          <w:szCs w:val="24"/>
          <w:lang w:val="es-BO"/>
        </w:rPr>
        <w:t xml:space="preserve"> </w:t>
      </w:r>
      <w:r w:rsidR="00993DD1">
        <w:rPr>
          <w:rFonts w:ascii="Arial" w:hAnsi="Arial" w:cs="Arial"/>
          <w:color w:val="000000"/>
          <w:sz w:val="24"/>
          <w:szCs w:val="24"/>
          <w:lang w:val="es-BO"/>
        </w:rPr>
        <w:t>investigación o innovación para realizar la transferencia de tecnología.</w:t>
      </w:r>
      <w:r w:rsidRPr="00526208">
        <w:rPr>
          <w:rFonts w:ascii="Arial" w:hAnsi="Arial" w:cs="Arial"/>
          <w:color w:val="000000"/>
          <w:sz w:val="24"/>
          <w:szCs w:val="24"/>
          <w:lang w:val="es-BO"/>
        </w:rPr>
        <w:t xml:space="preserve"> </w:t>
      </w:r>
    </w:p>
    <w:p w:rsidR="005F0C1B" w:rsidRPr="00526208" w:rsidRDefault="005F0C1B" w:rsidP="00526208">
      <w:pPr>
        <w:pStyle w:val="Prrafodelista"/>
        <w:autoSpaceDE w:val="0"/>
        <w:autoSpaceDN w:val="0"/>
        <w:adjustRightInd w:val="0"/>
        <w:spacing w:after="0" w:line="240" w:lineRule="auto"/>
        <w:jc w:val="both"/>
        <w:rPr>
          <w:rFonts w:ascii="Arial" w:hAnsi="Arial" w:cs="Arial"/>
          <w:color w:val="000000"/>
          <w:sz w:val="24"/>
          <w:szCs w:val="24"/>
          <w:lang w:val="es-BO"/>
        </w:rPr>
      </w:pPr>
    </w:p>
    <w:p w:rsidR="00F26499" w:rsidRPr="00526208" w:rsidRDefault="00F26499" w:rsidP="00526208">
      <w:pPr>
        <w:pStyle w:val="Default"/>
        <w:numPr>
          <w:ilvl w:val="0"/>
          <w:numId w:val="22"/>
        </w:numPr>
        <w:jc w:val="both"/>
        <w:rPr>
          <w:lang w:val="es-BO"/>
        </w:rPr>
      </w:pPr>
      <w:r w:rsidRPr="00526208">
        <w:rPr>
          <w:lang w:val="es-BO"/>
        </w:rPr>
        <w:t xml:space="preserve">Proyectos conjuntos entre el sector productivo o social y las entidades generadoras de conocimiento para realizar procesos de innovación en procesos, productos, mercados y otros. Estos proyectos deben tener contraparte de los beneficiarios finales. </w:t>
      </w:r>
    </w:p>
    <w:p w:rsidR="00F26499" w:rsidRPr="00526208" w:rsidRDefault="00F26499" w:rsidP="00526208">
      <w:pPr>
        <w:pStyle w:val="Prrafodelista"/>
        <w:spacing w:after="0" w:line="240" w:lineRule="auto"/>
        <w:rPr>
          <w:rFonts w:ascii="Arial" w:hAnsi="Arial" w:cs="Arial"/>
          <w:sz w:val="24"/>
          <w:szCs w:val="24"/>
          <w:lang w:val="es-BO"/>
        </w:rPr>
      </w:pPr>
    </w:p>
    <w:p w:rsidR="00893D60" w:rsidRPr="00526208" w:rsidRDefault="005F0C1B" w:rsidP="00526208">
      <w:pPr>
        <w:pStyle w:val="Default"/>
        <w:numPr>
          <w:ilvl w:val="0"/>
          <w:numId w:val="22"/>
        </w:numPr>
        <w:jc w:val="both"/>
        <w:rPr>
          <w:lang w:val="es-BO"/>
        </w:rPr>
      </w:pPr>
      <w:r w:rsidRPr="00526208">
        <w:rPr>
          <w:lang w:val="es-BO"/>
        </w:rPr>
        <w:t xml:space="preserve">Proyectos </w:t>
      </w:r>
      <w:r w:rsidR="00993DD1">
        <w:rPr>
          <w:lang w:val="es-BO"/>
        </w:rPr>
        <w:t xml:space="preserve">de transformación a </w:t>
      </w:r>
      <w:r w:rsidRPr="00526208">
        <w:rPr>
          <w:lang w:val="es-BO"/>
        </w:rPr>
        <w:t>E</w:t>
      </w:r>
      <w:r w:rsidR="00993DD1">
        <w:rPr>
          <w:lang w:val="es-BO"/>
        </w:rPr>
        <w:t>mpresas de Base T</w:t>
      </w:r>
      <w:r w:rsidR="00893D60" w:rsidRPr="00526208">
        <w:rPr>
          <w:lang w:val="es-BO"/>
        </w:rPr>
        <w:t>ecnológica</w:t>
      </w:r>
      <w:r w:rsidR="00993DD1">
        <w:rPr>
          <w:lang w:val="es-BO"/>
        </w:rPr>
        <w:t>,</w:t>
      </w:r>
      <w:r w:rsidR="00893D60" w:rsidRPr="00526208">
        <w:rPr>
          <w:lang w:val="es-BO"/>
        </w:rPr>
        <w:t xml:space="preserve"> cuya actividad se base en la aplicación de conocimientos científicos o tecnológicos para el desarrollo de nuevos productos, procesos o servicios, o la mejora sustancial de los existentes a fin de contribuir al crecimiento sostenido a través de la diversificación de las exportaciones y el aumento del valor agregado de la producción. El mercado </w:t>
      </w:r>
      <w:r w:rsidR="00893D60" w:rsidRPr="00526208">
        <w:rPr>
          <w:lang w:val="es-BO"/>
        </w:rPr>
        <w:lastRenderedPageBreak/>
        <w:t>geográfico potencial de estos productos o servicios deberá exceder el mercado interno.</w:t>
      </w:r>
    </w:p>
    <w:p w:rsidR="005F0C1B" w:rsidRPr="00526208" w:rsidRDefault="005F0C1B" w:rsidP="00526208">
      <w:pPr>
        <w:pStyle w:val="Default"/>
        <w:jc w:val="both"/>
        <w:rPr>
          <w:color w:val="auto"/>
          <w:lang w:val="es-BO"/>
        </w:rPr>
      </w:pPr>
    </w:p>
    <w:p w:rsidR="005F0C1B" w:rsidRPr="00526208" w:rsidRDefault="005F0C1B" w:rsidP="00526208">
      <w:pPr>
        <w:pStyle w:val="Default"/>
        <w:jc w:val="both"/>
        <w:rPr>
          <w:color w:val="auto"/>
          <w:lang w:val="es-BO"/>
        </w:rPr>
      </w:pPr>
      <w:r w:rsidRPr="00526208">
        <w:rPr>
          <w:color w:val="auto"/>
          <w:lang w:val="es-BO"/>
        </w:rPr>
        <w:t>Los montos de subsidio financiados por el FON</w:t>
      </w:r>
      <w:r w:rsidR="00993DD1">
        <w:rPr>
          <w:color w:val="auto"/>
          <w:lang w:val="es-BO"/>
        </w:rPr>
        <w:t>U</w:t>
      </w:r>
      <w:r w:rsidRPr="00526208">
        <w:rPr>
          <w:color w:val="auto"/>
          <w:lang w:val="es-BO"/>
        </w:rPr>
        <w:t xml:space="preserve">CyT </w:t>
      </w:r>
      <w:r w:rsidR="00F26499" w:rsidRPr="00526208">
        <w:rPr>
          <w:color w:val="auto"/>
          <w:lang w:val="es-BO"/>
        </w:rPr>
        <w:t>corresponderán a un máximo del 70% de monto requerido en el proyecto, el resto del monto debe ser contraparte de la empresas públicas o privadas que aplican a este Programa.</w:t>
      </w:r>
    </w:p>
    <w:p w:rsidR="00F26499" w:rsidRPr="00526208" w:rsidRDefault="00F26499" w:rsidP="00526208">
      <w:pPr>
        <w:pStyle w:val="Default"/>
        <w:jc w:val="both"/>
        <w:rPr>
          <w:lang w:val="es-BO"/>
        </w:rPr>
      </w:pPr>
    </w:p>
    <w:p w:rsidR="00655BD9" w:rsidRPr="00526208" w:rsidRDefault="00655BD9" w:rsidP="00526208">
      <w:pPr>
        <w:spacing w:after="0" w:line="240" w:lineRule="auto"/>
        <w:jc w:val="both"/>
        <w:rPr>
          <w:rFonts w:ascii="Arial" w:hAnsi="Arial" w:cs="Arial"/>
          <w:b/>
          <w:sz w:val="24"/>
          <w:szCs w:val="24"/>
          <w:lang w:val="es-BO"/>
        </w:rPr>
      </w:pPr>
    </w:p>
    <w:p w:rsidR="00655BD9" w:rsidRPr="00A26FBD" w:rsidRDefault="00A26FBD" w:rsidP="006F6142">
      <w:pPr>
        <w:pStyle w:val="Ttulo2"/>
        <w:rPr>
          <w:lang w:val="es-BO"/>
        </w:rPr>
      </w:pPr>
      <w:bookmarkStart w:id="10" w:name="_Toc471887280"/>
      <w:r>
        <w:rPr>
          <w:lang w:val="es-BO"/>
        </w:rPr>
        <w:t xml:space="preserve">5.3 </w:t>
      </w:r>
      <w:r w:rsidR="00655BD9" w:rsidRPr="00A26FBD">
        <w:rPr>
          <w:lang w:val="es-BO"/>
        </w:rPr>
        <w:t>Programa de Apoyo a la Formación de Talento Humano (PTAL)</w:t>
      </w:r>
      <w:bookmarkEnd w:id="10"/>
    </w:p>
    <w:p w:rsidR="001B3993" w:rsidRPr="00526208" w:rsidRDefault="001B3993" w:rsidP="00526208">
      <w:pPr>
        <w:spacing w:after="0" w:line="240" w:lineRule="auto"/>
        <w:rPr>
          <w:rFonts w:ascii="Arial" w:hAnsi="Arial" w:cs="Arial"/>
          <w:sz w:val="24"/>
          <w:szCs w:val="24"/>
          <w:lang w:val="es-BO"/>
        </w:rPr>
      </w:pPr>
    </w:p>
    <w:p w:rsidR="001B3993" w:rsidRPr="00526208" w:rsidRDefault="001B3993" w:rsidP="00A26FBD">
      <w:pPr>
        <w:spacing w:after="0" w:line="240" w:lineRule="auto"/>
        <w:jc w:val="both"/>
        <w:rPr>
          <w:rFonts w:ascii="Arial" w:hAnsi="Arial" w:cs="Arial"/>
          <w:sz w:val="24"/>
          <w:szCs w:val="24"/>
          <w:lang w:val="es-BO"/>
        </w:rPr>
      </w:pPr>
      <w:r w:rsidRPr="00526208">
        <w:rPr>
          <w:rFonts w:ascii="Arial" w:hAnsi="Arial" w:cs="Arial"/>
          <w:sz w:val="24"/>
          <w:szCs w:val="24"/>
          <w:lang w:val="es-BO"/>
        </w:rPr>
        <w:t xml:space="preserve">El Objetivo de este Programa es la formación de talento humano de los centros de investigación (universidades), sector productivo y social y, gobierno. El talento humano a ser formado debe corresponder inicialmente al personal de investigación a tiempo completo de las entidades que </w:t>
      </w:r>
      <w:r w:rsidR="00A26FBD">
        <w:rPr>
          <w:rFonts w:ascii="Arial" w:hAnsi="Arial" w:cs="Arial"/>
          <w:sz w:val="24"/>
          <w:szCs w:val="24"/>
          <w:lang w:val="es-BO"/>
        </w:rPr>
        <w:t xml:space="preserve">se encuentran registras en el </w:t>
      </w:r>
      <w:r w:rsidRPr="00526208">
        <w:rPr>
          <w:rFonts w:ascii="Arial" w:hAnsi="Arial" w:cs="Arial"/>
          <w:sz w:val="24"/>
          <w:szCs w:val="24"/>
          <w:lang w:val="es-BO"/>
        </w:rPr>
        <w:t>RES</w:t>
      </w:r>
      <w:r w:rsidR="00A26FBD">
        <w:rPr>
          <w:rFonts w:ascii="Arial" w:hAnsi="Arial" w:cs="Arial"/>
          <w:sz w:val="24"/>
          <w:szCs w:val="24"/>
          <w:lang w:val="es-BO"/>
        </w:rPr>
        <w:t>UII</w:t>
      </w:r>
      <w:r w:rsidRPr="00526208">
        <w:rPr>
          <w:rFonts w:ascii="Arial" w:hAnsi="Arial" w:cs="Arial"/>
          <w:sz w:val="24"/>
          <w:szCs w:val="24"/>
          <w:lang w:val="es-BO"/>
        </w:rPr>
        <w:t xml:space="preserve">. </w:t>
      </w:r>
    </w:p>
    <w:p w:rsidR="00A26FBD" w:rsidRDefault="00A26FBD" w:rsidP="00A26FBD">
      <w:pPr>
        <w:pStyle w:val="Default"/>
        <w:jc w:val="both"/>
        <w:rPr>
          <w:lang w:val="es-BO"/>
        </w:rPr>
      </w:pPr>
    </w:p>
    <w:p w:rsidR="00F26499" w:rsidRPr="00526208" w:rsidRDefault="00F26499" w:rsidP="00A26FBD">
      <w:pPr>
        <w:pStyle w:val="Default"/>
        <w:jc w:val="both"/>
        <w:rPr>
          <w:lang w:val="es-BO"/>
        </w:rPr>
      </w:pPr>
      <w:r w:rsidRPr="00526208">
        <w:rPr>
          <w:lang w:val="es-BO"/>
        </w:rPr>
        <w:t>El otorgamiento de becas en los proyectos subsidiados por el FON</w:t>
      </w:r>
      <w:r w:rsidR="00A26FBD">
        <w:rPr>
          <w:lang w:val="es-BO"/>
        </w:rPr>
        <w:t>U</w:t>
      </w:r>
      <w:r w:rsidRPr="00526208">
        <w:rPr>
          <w:lang w:val="es-BO"/>
        </w:rPr>
        <w:t xml:space="preserve">CyT deberá estar destinado a estimular la realización de estudios de postgrado y la dedicación a una actividad científica – académica de tiempo completo. </w:t>
      </w:r>
    </w:p>
    <w:p w:rsidR="00F26499" w:rsidRPr="00526208" w:rsidRDefault="00F26499" w:rsidP="00A26FBD">
      <w:pPr>
        <w:pStyle w:val="Default"/>
        <w:jc w:val="both"/>
        <w:rPr>
          <w:lang w:val="es-BO"/>
        </w:rPr>
      </w:pPr>
    </w:p>
    <w:p w:rsidR="00F26499" w:rsidRPr="00526208" w:rsidRDefault="00F26499" w:rsidP="00A26FBD">
      <w:pPr>
        <w:pStyle w:val="Default"/>
        <w:jc w:val="both"/>
        <w:rPr>
          <w:lang w:val="es-BO"/>
        </w:rPr>
      </w:pPr>
      <w:r w:rsidRPr="00526208">
        <w:rPr>
          <w:lang w:val="es-BO"/>
        </w:rPr>
        <w:t xml:space="preserve">En ningún caso una beca puede ser instrumento que permita financiar actividades que deben encuadrarse en un contrato de trabajo o en un contrato para prestación de servicios técnicos, realización de tareas de consultoría, pasantía, etc. </w:t>
      </w:r>
    </w:p>
    <w:p w:rsidR="001B3993" w:rsidRPr="00526208" w:rsidRDefault="001B3993" w:rsidP="00A26FBD">
      <w:pPr>
        <w:pStyle w:val="Default"/>
        <w:jc w:val="both"/>
        <w:rPr>
          <w:lang w:val="es-BO"/>
        </w:rPr>
      </w:pPr>
    </w:p>
    <w:p w:rsidR="00F26499" w:rsidRPr="00526208" w:rsidRDefault="00F26499" w:rsidP="00A26FBD">
      <w:pPr>
        <w:pStyle w:val="Default"/>
        <w:jc w:val="both"/>
        <w:rPr>
          <w:lang w:val="es-BO"/>
        </w:rPr>
      </w:pPr>
      <w:r w:rsidRPr="00526208">
        <w:rPr>
          <w:lang w:val="es-BO"/>
        </w:rPr>
        <w:t>El estipendio que percibirá el becario no será remunerativo y no implicará relación laboral alguna con la Institución Beneficiari</w:t>
      </w:r>
      <w:r w:rsidR="00A26FBD">
        <w:rPr>
          <w:lang w:val="es-BO"/>
        </w:rPr>
        <w:t>a, el Investigador Principal, Coordinador o</w:t>
      </w:r>
      <w:r w:rsidRPr="00526208">
        <w:rPr>
          <w:lang w:val="es-BO"/>
        </w:rPr>
        <w:t xml:space="preserve"> </w:t>
      </w:r>
      <w:r w:rsidR="001D752D">
        <w:rPr>
          <w:lang w:val="es-BO"/>
        </w:rPr>
        <w:t>la ANUCTI.</w:t>
      </w:r>
      <w:r w:rsidR="001B3993" w:rsidRPr="00526208">
        <w:rPr>
          <w:lang w:val="es-BO"/>
        </w:rPr>
        <w:t xml:space="preserve"> </w:t>
      </w:r>
      <w:r w:rsidRPr="00526208">
        <w:rPr>
          <w:lang w:val="es-BO"/>
        </w:rPr>
        <w:t xml:space="preserve">Este estipendio no contempla aportes o cargas sociales. </w:t>
      </w:r>
    </w:p>
    <w:p w:rsidR="00F26499" w:rsidRPr="00526208" w:rsidRDefault="00F26499" w:rsidP="00A26FBD">
      <w:pPr>
        <w:pStyle w:val="Default"/>
        <w:jc w:val="both"/>
        <w:rPr>
          <w:lang w:val="es-BO"/>
        </w:rPr>
      </w:pPr>
    </w:p>
    <w:p w:rsidR="001B3993" w:rsidRPr="00526208" w:rsidRDefault="00F26499" w:rsidP="00A26FBD">
      <w:pPr>
        <w:pStyle w:val="Default"/>
        <w:jc w:val="both"/>
        <w:rPr>
          <w:lang w:val="es-BO"/>
        </w:rPr>
      </w:pPr>
      <w:r w:rsidRPr="00526208">
        <w:rPr>
          <w:lang w:val="es-BO"/>
        </w:rPr>
        <w:t>Será obligación de</w:t>
      </w:r>
      <w:r w:rsidR="001D752D">
        <w:rPr>
          <w:lang w:val="es-BO"/>
        </w:rPr>
        <w:t xml:space="preserve"> la ANUCTI</w:t>
      </w:r>
      <w:r w:rsidRPr="00526208">
        <w:rPr>
          <w:lang w:val="es-BO"/>
        </w:rPr>
        <w:t xml:space="preserve"> designar al becario mediante un Acto Administrativo</w:t>
      </w:r>
      <w:r w:rsidR="001B3993" w:rsidRPr="00526208">
        <w:rPr>
          <w:lang w:val="es-BO"/>
        </w:rPr>
        <w:t>,</w:t>
      </w:r>
      <w:r w:rsidRPr="00526208">
        <w:rPr>
          <w:lang w:val="es-BO"/>
        </w:rPr>
        <w:t xml:space="preserve"> así como incorporar a los mismos </w:t>
      </w:r>
      <w:r w:rsidR="001B3993" w:rsidRPr="00526208">
        <w:rPr>
          <w:lang w:val="es-BO"/>
        </w:rPr>
        <w:t>con seguro de salud</w:t>
      </w:r>
      <w:r w:rsidR="00A26FBD">
        <w:rPr>
          <w:lang w:val="es-BO"/>
        </w:rPr>
        <w:t xml:space="preserve"> por parte de la Unidad Beneficiaria</w:t>
      </w:r>
      <w:r w:rsidR="001B3993" w:rsidRPr="00526208">
        <w:rPr>
          <w:lang w:val="es-BO"/>
        </w:rPr>
        <w:t xml:space="preserve">. </w:t>
      </w:r>
      <w:r w:rsidRPr="00526208">
        <w:rPr>
          <w:lang w:val="es-BO"/>
        </w:rPr>
        <w:t>Los montos erogados en cumplimiento de esta obligación serán reconocidos como aporte de contraparte.</w:t>
      </w:r>
    </w:p>
    <w:p w:rsidR="00F26499" w:rsidRPr="00526208" w:rsidRDefault="00F26499" w:rsidP="00A26FBD">
      <w:pPr>
        <w:pStyle w:val="Default"/>
        <w:jc w:val="both"/>
        <w:rPr>
          <w:lang w:val="es-BO"/>
        </w:rPr>
      </w:pPr>
      <w:r w:rsidRPr="00526208">
        <w:rPr>
          <w:lang w:val="es-BO"/>
        </w:rPr>
        <w:t xml:space="preserve"> </w:t>
      </w:r>
    </w:p>
    <w:p w:rsidR="00F26499" w:rsidRDefault="00F26499" w:rsidP="00A26FBD">
      <w:pPr>
        <w:spacing w:after="0" w:line="240" w:lineRule="auto"/>
        <w:jc w:val="both"/>
        <w:rPr>
          <w:rFonts w:ascii="Arial" w:hAnsi="Arial" w:cs="Arial"/>
          <w:sz w:val="24"/>
          <w:szCs w:val="24"/>
          <w:lang w:val="es-BO"/>
        </w:rPr>
      </w:pPr>
      <w:r w:rsidRPr="00526208">
        <w:rPr>
          <w:rFonts w:ascii="Arial" w:hAnsi="Arial" w:cs="Arial"/>
          <w:sz w:val="24"/>
          <w:szCs w:val="24"/>
          <w:lang w:val="es-BO"/>
        </w:rPr>
        <w:t xml:space="preserve">Las becas están destinadas a </w:t>
      </w:r>
      <w:r w:rsidR="001B3993" w:rsidRPr="00526208">
        <w:rPr>
          <w:rFonts w:ascii="Arial" w:hAnsi="Arial" w:cs="Arial"/>
          <w:sz w:val="24"/>
          <w:szCs w:val="24"/>
          <w:lang w:val="es-BO"/>
        </w:rPr>
        <w:t xml:space="preserve">investigadores o trabajadores actuales a tiempo completo, </w:t>
      </w:r>
      <w:r w:rsidRPr="00526208">
        <w:rPr>
          <w:rFonts w:ascii="Arial" w:hAnsi="Arial" w:cs="Arial"/>
          <w:sz w:val="24"/>
          <w:szCs w:val="24"/>
          <w:lang w:val="es-BO"/>
        </w:rPr>
        <w:t xml:space="preserve">jóvenes graduados y postgraduados de nacionalidad </w:t>
      </w:r>
      <w:r w:rsidR="001B3993" w:rsidRPr="00526208">
        <w:rPr>
          <w:rFonts w:ascii="Arial" w:hAnsi="Arial" w:cs="Arial"/>
          <w:sz w:val="24"/>
          <w:szCs w:val="24"/>
          <w:lang w:val="es-BO"/>
        </w:rPr>
        <w:t xml:space="preserve">boliviana </w:t>
      </w:r>
      <w:r w:rsidRPr="00526208">
        <w:rPr>
          <w:rFonts w:ascii="Arial" w:hAnsi="Arial" w:cs="Arial"/>
          <w:sz w:val="24"/>
          <w:szCs w:val="24"/>
          <w:lang w:val="es-BO"/>
        </w:rPr>
        <w:t>o extranjera, a desarrollarse en nuestro país.</w:t>
      </w:r>
      <w:r w:rsidR="001B3993" w:rsidRPr="00526208">
        <w:rPr>
          <w:rFonts w:ascii="Arial" w:hAnsi="Arial" w:cs="Arial"/>
          <w:sz w:val="24"/>
          <w:szCs w:val="24"/>
          <w:lang w:val="es-BO"/>
        </w:rPr>
        <w:t xml:space="preserve"> La organización de los cursos de posgrado, será responsabilidad de cada Dirección de Investigación de cada Universidad en coordinación con la Unidad de Posgrado </w:t>
      </w:r>
      <w:r w:rsidR="00A26FBD">
        <w:rPr>
          <w:rFonts w:ascii="Arial" w:hAnsi="Arial" w:cs="Arial"/>
          <w:sz w:val="24"/>
          <w:szCs w:val="24"/>
          <w:lang w:val="es-BO"/>
        </w:rPr>
        <w:t xml:space="preserve">de la universidad </w:t>
      </w:r>
      <w:r w:rsidR="001B3993" w:rsidRPr="00526208">
        <w:rPr>
          <w:rFonts w:ascii="Arial" w:hAnsi="Arial" w:cs="Arial"/>
          <w:sz w:val="24"/>
          <w:szCs w:val="24"/>
          <w:lang w:val="es-BO"/>
        </w:rPr>
        <w:t>respectiva. Esta forma de dar subsidios será hasta lograr la masa crítica de investigadores en las líneas de investigación del PNCTI.</w:t>
      </w:r>
    </w:p>
    <w:p w:rsidR="00A26FBD" w:rsidRPr="00526208" w:rsidRDefault="00A26FBD" w:rsidP="00A26FBD">
      <w:pPr>
        <w:spacing w:after="0" w:line="240" w:lineRule="auto"/>
        <w:jc w:val="both"/>
        <w:rPr>
          <w:rFonts w:ascii="Arial" w:hAnsi="Arial" w:cs="Arial"/>
          <w:sz w:val="24"/>
          <w:szCs w:val="24"/>
          <w:lang w:val="es-BO"/>
        </w:rPr>
      </w:pPr>
    </w:p>
    <w:p w:rsidR="005F1D54" w:rsidRPr="00526208" w:rsidRDefault="001B3993" w:rsidP="00A26FBD">
      <w:pPr>
        <w:spacing w:after="0" w:line="240" w:lineRule="auto"/>
        <w:jc w:val="both"/>
        <w:rPr>
          <w:rFonts w:ascii="Arial" w:hAnsi="Arial" w:cs="Arial"/>
          <w:sz w:val="24"/>
          <w:szCs w:val="24"/>
          <w:lang w:val="es-BO"/>
        </w:rPr>
      </w:pPr>
      <w:r w:rsidRPr="00526208">
        <w:rPr>
          <w:rFonts w:ascii="Arial" w:hAnsi="Arial" w:cs="Arial"/>
          <w:sz w:val="24"/>
          <w:szCs w:val="24"/>
          <w:lang w:val="es-BO"/>
        </w:rPr>
        <w:t xml:space="preserve">También, este programa financiará estadías cortas en otros centros de investigación o unidades de investigación del país o del exterior. </w:t>
      </w:r>
      <w:r w:rsidR="005F1D54" w:rsidRPr="00526208">
        <w:rPr>
          <w:rFonts w:ascii="Arial" w:hAnsi="Arial" w:cs="Arial"/>
          <w:sz w:val="24"/>
          <w:szCs w:val="24"/>
          <w:lang w:val="es-BO"/>
        </w:rPr>
        <w:t>También debe financiar la participación de los investigadores en redes, talleres, simposios a nivel nacional e internacional.</w:t>
      </w:r>
    </w:p>
    <w:p w:rsidR="005F1D54" w:rsidRDefault="005F1D54" w:rsidP="00526208">
      <w:pPr>
        <w:spacing w:after="0" w:line="240" w:lineRule="auto"/>
        <w:jc w:val="both"/>
        <w:rPr>
          <w:rFonts w:ascii="Arial" w:hAnsi="Arial" w:cs="Arial"/>
          <w:sz w:val="24"/>
          <w:szCs w:val="24"/>
          <w:lang w:val="es-BO"/>
        </w:rPr>
      </w:pPr>
    </w:p>
    <w:p w:rsidR="001D752D" w:rsidRDefault="001D752D" w:rsidP="00526208">
      <w:pPr>
        <w:spacing w:after="0" w:line="240" w:lineRule="auto"/>
        <w:jc w:val="both"/>
        <w:rPr>
          <w:rFonts w:ascii="Arial" w:hAnsi="Arial" w:cs="Arial"/>
          <w:sz w:val="24"/>
          <w:szCs w:val="24"/>
          <w:lang w:val="es-BO"/>
        </w:rPr>
      </w:pPr>
    </w:p>
    <w:p w:rsidR="00A26FBD" w:rsidRDefault="00A26FBD" w:rsidP="00526208">
      <w:pPr>
        <w:spacing w:after="0" w:line="240" w:lineRule="auto"/>
        <w:jc w:val="both"/>
        <w:rPr>
          <w:rFonts w:ascii="Arial" w:hAnsi="Arial" w:cs="Arial"/>
          <w:sz w:val="24"/>
          <w:szCs w:val="24"/>
          <w:lang w:val="es-BO"/>
        </w:rPr>
      </w:pPr>
    </w:p>
    <w:p w:rsidR="001A05A8" w:rsidRDefault="001A05A8" w:rsidP="00526208">
      <w:pPr>
        <w:spacing w:after="0" w:line="240" w:lineRule="auto"/>
        <w:jc w:val="both"/>
        <w:rPr>
          <w:rFonts w:ascii="Arial" w:hAnsi="Arial" w:cs="Arial"/>
          <w:sz w:val="24"/>
          <w:szCs w:val="24"/>
          <w:lang w:val="es-BO"/>
        </w:rPr>
      </w:pPr>
    </w:p>
    <w:p w:rsidR="001A05A8" w:rsidRPr="00526208" w:rsidRDefault="001A05A8" w:rsidP="00526208">
      <w:pPr>
        <w:spacing w:after="0" w:line="240" w:lineRule="auto"/>
        <w:jc w:val="both"/>
        <w:rPr>
          <w:rFonts w:ascii="Arial" w:hAnsi="Arial" w:cs="Arial"/>
          <w:sz w:val="24"/>
          <w:szCs w:val="24"/>
          <w:lang w:val="es-BO"/>
        </w:rPr>
      </w:pPr>
    </w:p>
    <w:p w:rsidR="00655BD9" w:rsidRPr="00A26FBD" w:rsidRDefault="00A26FBD" w:rsidP="006F6142">
      <w:pPr>
        <w:pStyle w:val="Ttulo2"/>
        <w:rPr>
          <w:lang w:val="es-BO"/>
        </w:rPr>
      </w:pPr>
      <w:bookmarkStart w:id="11" w:name="_Toc471887281"/>
      <w:r>
        <w:rPr>
          <w:lang w:val="es-BO"/>
        </w:rPr>
        <w:t xml:space="preserve">5.4 </w:t>
      </w:r>
      <w:r w:rsidR="00655BD9" w:rsidRPr="00A26FBD">
        <w:rPr>
          <w:lang w:val="es-BO"/>
        </w:rPr>
        <w:t xml:space="preserve">Programas </w:t>
      </w:r>
      <w:r>
        <w:rPr>
          <w:lang w:val="es-BO"/>
        </w:rPr>
        <w:t>Estratégicos de Generación de Conocimiento</w:t>
      </w:r>
      <w:bookmarkEnd w:id="11"/>
      <w:r>
        <w:rPr>
          <w:lang w:val="es-BO"/>
        </w:rPr>
        <w:t xml:space="preserve"> </w:t>
      </w:r>
    </w:p>
    <w:p w:rsidR="005F1D54" w:rsidRPr="00526208" w:rsidRDefault="005F1D54" w:rsidP="00526208">
      <w:pPr>
        <w:spacing w:after="0" w:line="240" w:lineRule="auto"/>
        <w:rPr>
          <w:rFonts w:ascii="Arial" w:hAnsi="Arial" w:cs="Arial"/>
          <w:b/>
          <w:sz w:val="24"/>
          <w:szCs w:val="24"/>
          <w:lang w:val="es-BO"/>
        </w:rPr>
      </w:pPr>
    </w:p>
    <w:p w:rsidR="005F1D54" w:rsidRPr="00526208" w:rsidRDefault="005F1D54" w:rsidP="00526208">
      <w:pPr>
        <w:spacing w:after="0" w:line="240" w:lineRule="auto"/>
        <w:jc w:val="both"/>
        <w:rPr>
          <w:rFonts w:ascii="Arial" w:hAnsi="Arial" w:cs="Arial"/>
          <w:sz w:val="24"/>
          <w:szCs w:val="24"/>
          <w:lang w:val="es-BO"/>
        </w:rPr>
      </w:pPr>
      <w:r w:rsidRPr="00526208">
        <w:rPr>
          <w:rFonts w:ascii="Arial" w:hAnsi="Arial" w:cs="Arial"/>
          <w:sz w:val="24"/>
          <w:szCs w:val="24"/>
          <w:lang w:val="es-BO"/>
        </w:rPr>
        <w:lastRenderedPageBreak/>
        <w:t xml:space="preserve">Este Programa gestionará programas </w:t>
      </w:r>
      <w:r w:rsidR="00A26FBD">
        <w:rPr>
          <w:rFonts w:ascii="Arial" w:hAnsi="Arial" w:cs="Arial"/>
          <w:sz w:val="24"/>
          <w:szCs w:val="24"/>
          <w:lang w:val="es-BO"/>
        </w:rPr>
        <w:t>o áreas de generación de conocimiento estratégicos para las regiones y el país, para ellos se otorgarán f</w:t>
      </w:r>
      <w:r w:rsidRPr="00526208">
        <w:rPr>
          <w:rFonts w:ascii="Arial" w:hAnsi="Arial" w:cs="Arial"/>
          <w:sz w:val="24"/>
          <w:szCs w:val="24"/>
          <w:lang w:val="es-BO"/>
        </w:rPr>
        <w:t xml:space="preserve">inanciamientos especiales con recursos </w:t>
      </w:r>
      <w:r w:rsidR="00A26FBD">
        <w:rPr>
          <w:rFonts w:ascii="Arial" w:hAnsi="Arial" w:cs="Arial"/>
          <w:sz w:val="24"/>
          <w:szCs w:val="24"/>
          <w:lang w:val="es-BO"/>
        </w:rPr>
        <w:t>del gobierno, del sector productivo,</w:t>
      </w:r>
      <w:r w:rsidRPr="00526208">
        <w:rPr>
          <w:rFonts w:ascii="Arial" w:hAnsi="Arial" w:cs="Arial"/>
          <w:sz w:val="24"/>
          <w:szCs w:val="24"/>
          <w:lang w:val="es-BO"/>
        </w:rPr>
        <w:t xml:space="preserve"> de la Cooperación Internacional</w:t>
      </w:r>
      <w:r w:rsidR="00A26FBD">
        <w:rPr>
          <w:rFonts w:ascii="Arial" w:hAnsi="Arial" w:cs="Arial"/>
          <w:sz w:val="24"/>
          <w:szCs w:val="24"/>
          <w:lang w:val="es-BO"/>
        </w:rPr>
        <w:t xml:space="preserve"> o del FONUCyT</w:t>
      </w:r>
      <w:r w:rsidRPr="00526208">
        <w:rPr>
          <w:rFonts w:ascii="Arial" w:hAnsi="Arial" w:cs="Arial"/>
          <w:sz w:val="24"/>
          <w:szCs w:val="24"/>
          <w:lang w:val="es-BO"/>
        </w:rPr>
        <w:t>. Los requisitos y condiciones de presentación de los proyectos, corresponderá a requerimientos exigidos o establecidos por los financiadores.</w:t>
      </w:r>
    </w:p>
    <w:p w:rsidR="00325384" w:rsidRPr="00526208" w:rsidRDefault="00325384" w:rsidP="00526208">
      <w:pPr>
        <w:spacing w:after="0" w:line="240" w:lineRule="auto"/>
        <w:jc w:val="both"/>
        <w:rPr>
          <w:rFonts w:ascii="Arial" w:hAnsi="Arial" w:cs="Arial"/>
          <w:sz w:val="24"/>
          <w:szCs w:val="24"/>
          <w:lang w:val="es-BO"/>
        </w:rPr>
      </w:pPr>
    </w:p>
    <w:p w:rsidR="005F1D54" w:rsidRPr="00526208" w:rsidRDefault="005F1D54" w:rsidP="00526208">
      <w:pPr>
        <w:spacing w:after="0" w:line="240" w:lineRule="auto"/>
        <w:jc w:val="both"/>
        <w:rPr>
          <w:rFonts w:ascii="Arial" w:hAnsi="Arial" w:cs="Arial"/>
          <w:sz w:val="24"/>
          <w:szCs w:val="24"/>
          <w:lang w:val="es-BO"/>
        </w:rPr>
      </w:pPr>
      <w:r w:rsidRPr="00526208">
        <w:rPr>
          <w:rFonts w:ascii="Arial" w:hAnsi="Arial" w:cs="Arial"/>
          <w:sz w:val="24"/>
          <w:szCs w:val="24"/>
          <w:lang w:val="es-BO"/>
        </w:rPr>
        <w:t>Durante el Taller realizado el 20 de septiembre de 2016, la Cooperación Suiza comprometió 23 millones de Bs. en la línea especial denominado “Cambio Climático”. De la misma forma, la Cooperación Sueca comprometió un apoyo de hasta 8 millones de Bs, sin definir una línea en particular.</w:t>
      </w:r>
    </w:p>
    <w:p w:rsidR="005F1D54" w:rsidRPr="00526208" w:rsidRDefault="005F1D54" w:rsidP="00526208">
      <w:pPr>
        <w:spacing w:after="0" w:line="240" w:lineRule="auto"/>
        <w:jc w:val="both"/>
        <w:rPr>
          <w:rFonts w:ascii="Arial" w:hAnsi="Arial" w:cs="Arial"/>
          <w:sz w:val="24"/>
          <w:szCs w:val="24"/>
          <w:lang w:val="es-BO"/>
        </w:rPr>
      </w:pPr>
    </w:p>
    <w:p w:rsidR="005F1D54" w:rsidRPr="00526208" w:rsidRDefault="005F1D54" w:rsidP="00526208">
      <w:pPr>
        <w:spacing w:after="0" w:line="240" w:lineRule="auto"/>
        <w:jc w:val="both"/>
        <w:rPr>
          <w:rFonts w:ascii="Arial" w:hAnsi="Arial" w:cs="Arial"/>
          <w:sz w:val="24"/>
          <w:szCs w:val="24"/>
          <w:lang w:val="es-BO"/>
        </w:rPr>
      </w:pPr>
      <w:r w:rsidRPr="00526208">
        <w:rPr>
          <w:rFonts w:ascii="Arial" w:hAnsi="Arial" w:cs="Arial"/>
          <w:sz w:val="24"/>
          <w:szCs w:val="24"/>
          <w:lang w:val="es-BO"/>
        </w:rPr>
        <w:t>Dentro de este Programa, se recomienda que se pueda destinar cierta cantidad de recursos para financiar (subsidiar) proyectos de desarrollo de software y telecomunicaciones</w:t>
      </w:r>
      <w:r w:rsidR="00A26FBD">
        <w:rPr>
          <w:rFonts w:ascii="Arial" w:hAnsi="Arial" w:cs="Arial"/>
          <w:sz w:val="24"/>
          <w:szCs w:val="24"/>
          <w:lang w:val="es-BO"/>
        </w:rPr>
        <w:t xml:space="preserve">, así como, para el desarrollo de energías renovables; esto se debe a que los resultados de investigaciones e innovaciones en estos sectores son </w:t>
      </w:r>
      <w:r w:rsidRPr="00526208">
        <w:rPr>
          <w:rFonts w:ascii="Arial" w:hAnsi="Arial" w:cs="Arial"/>
          <w:sz w:val="24"/>
          <w:szCs w:val="24"/>
          <w:lang w:val="es-BO"/>
        </w:rPr>
        <w:t>estratégico</w:t>
      </w:r>
      <w:r w:rsidR="00A26FBD">
        <w:rPr>
          <w:rFonts w:ascii="Arial" w:hAnsi="Arial" w:cs="Arial"/>
          <w:sz w:val="24"/>
          <w:szCs w:val="24"/>
          <w:lang w:val="es-BO"/>
        </w:rPr>
        <w:t xml:space="preserve">s para las regiones y el país, y genera </w:t>
      </w:r>
      <w:r w:rsidRPr="00526208">
        <w:rPr>
          <w:rFonts w:ascii="Arial" w:hAnsi="Arial" w:cs="Arial"/>
          <w:sz w:val="24"/>
          <w:szCs w:val="24"/>
          <w:lang w:val="es-BO"/>
        </w:rPr>
        <w:t xml:space="preserve">valor agregado y tiene un efecto multiplicador con diferentes sectores. </w:t>
      </w:r>
    </w:p>
    <w:p w:rsidR="0000051E" w:rsidRDefault="0000051E" w:rsidP="00526208">
      <w:pPr>
        <w:spacing w:after="0" w:line="240" w:lineRule="auto"/>
        <w:jc w:val="both"/>
        <w:rPr>
          <w:rFonts w:ascii="Arial" w:hAnsi="Arial" w:cs="Arial"/>
          <w:sz w:val="24"/>
          <w:szCs w:val="24"/>
          <w:lang w:val="es-BO"/>
        </w:rPr>
      </w:pPr>
    </w:p>
    <w:p w:rsidR="00A26FBD" w:rsidRPr="00526208" w:rsidRDefault="00A26FBD" w:rsidP="00526208">
      <w:pPr>
        <w:spacing w:after="0" w:line="240" w:lineRule="auto"/>
        <w:jc w:val="both"/>
        <w:rPr>
          <w:rFonts w:ascii="Arial" w:hAnsi="Arial" w:cs="Arial"/>
          <w:sz w:val="24"/>
          <w:szCs w:val="24"/>
          <w:lang w:val="es-BO"/>
        </w:rPr>
      </w:pPr>
    </w:p>
    <w:p w:rsidR="0000051E" w:rsidRPr="0085268C" w:rsidRDefault="0085268C" w:rsidP="006F6142">
      <w:pPr>
        <w:pStyle w:val="Ttulo1"/>
        <w:rPr>
          <w:lang w:val="es-BO"/>
        </w:rPr>
      </w:pPr>
      <w:bookmarkStart w:id="12" w:name="_Toc471887282"/>
      <w:r>
        <w:rPr>
          <w:lang w:val="es-BO"/>
        </w:rPr>
        <w:t xml:space="preserve">6. </w:t>
      </w:r>
      <w:r w:rsidR="0000051E" w:rsidRPr="0085268C">
        <w:rPr>
          <w:lang w:val="es-BO"/>
        </w:rPr>
        <w:t>Líneas de Investigación</w:t>
      </w:r>
      <w:bookmarkEnd w:id="12"/>
    </w:p>
    <w:p w:rsidR="0000051E" w:rsidRPr="00526208" w:rsidRDefault="0000051E" w:rsidP="00526208">
      <w:pPr>
        <w:spacing w:after="0" w:line="240" w:lineRule="auto"/>
        <w:jc w:val="both"/>
        <w:rPr>
          <w:rFonts w:ascii="Arial" w:hAnsi="Arial" w:cs="Arial"/>
          <w:b/>
          <w:sz w:val="24"/>
          <w:szCs w:val="24"/>
          <w:lang w:val="es-BO"/>
        </w:rPr>
      </w:pPr>
    </w:p>
    <w:p w:rsidR="006F5B83" w:rsidRPr="00526208" w:rsidRDefault="006F5B83" w:rsidP="00526208">
      <w:pPr>
        <w:spacing w:after="0" w:line="240" w:lineRule="auto"/>
        <w:jc w:val="both"/>
        <w:rPr>
          <w:rFonts w:ascii="Arial" w:hAnsi="Arial" w:cs="Arial"/>
          <w:sz w:val="24"/>
          <w:szCs w:val="24"/>
          <w:lang w:val="es-BO"/>
        </w:rPr>
      </w:pPr>
      <w:r w:rsidRPr="00526208">
        <w:rPr>
          <w:rFonts w:ascii="Arial" w:hAnsi="Arial" w:cs="Arial"/>
          <w:sz w:val="24"/>
          <w:szCs w:val="24"/>
          <w:lang w:val="es-BO"/>
        </w:rPr>
        <w:t>Los proyectos a ser subsidiados por el FON</w:t>
      </w:r>
      <w:r w:rsidR="0085268C">
        <w:rPr>
          <w:rFonts w:ascii="Arial" w:hAnsi="Arial" w:cs="Arial"/>
          <w:sz w:val="24"/>
          <w:szCs w:val="24"/>
          <w:lang w:val="es-BO"/>
        </w:rPr>
        <w:t>U</w:t>
      </w:r>
      <w:r w:rsidRPr="00526208">
        <w:rPr>
          <w:rFonts w:ascii="Arial" w:hAnsi="Arial" w:cs="Arial"/>
          <w:sz w:val="24"/>
          <w:szCs w:val="24"/>
          <w:lang w:val="es-BO"/>
        </w:rPr>
        <w:t xml:space="preserve">CyT deberán corresponder de manera prioritaria a las siguientes </w:t>
      </w:r>
      <w:r w:rsidR="00D62C89" w:rsidRPr="00526208">
        <w:rPr>
          <w:rFonts w:ascii="Arial" w:hAnsi="Arial" w:cs="Arial"/>
          <w:sz w:val="24"/>
          <w:szCs w:val="24"/>
          <w:lang w:val="es-BO"/>
        </w:rPr>
        <w:t xml:space="preserve">áreas y </w:t>
      </w:r>
      <w:r w:rsidRPr="00526208">
        <w:rPr>
          <w:rFonts w:ascii="Arial" w:hAnsi="Arial" w:cs="Arial"/>
          <w:sz w:val="24"/>
          <w:szCs w:val="24"/>
          <w:lang w:val="es-BO"/>
        </w:rPr>
        <w:t>líneas de investigación, los mismos que fueron aprobados en el Taller Nacional de fecha 20 de septiembre de 2016:</w:t>
      </w:r>
    </w:p>
    <w:p w:rsidR="00D62C89" w:rsidRPr="00526208" w:rsidRDefault="00D62C89" w:rsidP="00526208">
      <w:pPr>
        <w:spacing w:after="0" w:line="240" w:lineRule="auto"/>
        <w:jc w:val="center"/>
        <w:rPr>
          <w:rFonts w:ascii="Arial" w:hAnsi="Arial" w:cs="Arial"/>
          <w:b/>
          <w:sz w:val="24"/>
          <w:szCs w:val="24"/>
          <w:lang w:val="es-BO"/>
        </w:rPr>
      </w:pPr>
    </w:p>
    <w:p w:rsidR="00D62C89" w:rsidRPr="00526208" w:rsidRDefault="00D62C89" w:rsidP="00526208">
      <w:pPr>
        <w:spacing w:after="0" w:line="240" w:lineRule="auto"/>
        <w:jc w:val="center"/>
        <w:rPr>
          <w:rFonts w:ascii="Arial" w:hAnsi="Arial" w:cs="Arial"/>
          <w:b/>
          <w:sz w:val="24"/>
          <w:szCs w:val="24"/>
          <w:lang w:val="es-BO"/>
        </w:rPr>
      </w:pPr>
    </w:p>
    <w:p w:rsidR="005166EB" w:rsidRDefault="005166EB">
      <w:pPr>
        <w:rPr>
          <w:rFonts w:ascii="Arial" w:hAnsi="Arial" w:cs="Arial"/>
          <w:b/>
          <w:sz w:val="24"/>
          <w:szCs w:val="24"/>
          <w:lang w:val="es-BO"/>
        </w:rPr>
      </w:pPr>
      <w:r>
        <w:rPr>
          <w:rFonts w:ascii="Arial" w:hAnsi="Arial" w:cs="Arial"/>
          <w:b/>
          <w:sz w:val="24"/>
          <w:szCs w:val="24"/>
          <w:lang w:val="es-BO"/>
        </w:rPr>
        <w:br w:type="page"/>
      </w:r>
    </w:p>
    <w:p w:rsidR="00D62C89" w:rsidRDefault="00D62C89" w:rsidP="00526208">
      <w:pPr>
        <w:spacing w:after="0" w:line="240" w:lineRule="auto"/>
        <w:jc w:val="center"/>
        <w:rPr>
          <w:rFonts w:ascii="Arial" w:hAnsi="Arial" w:cs="Arial"/>
          <w:b/>
          <w:sz w:val="24"/>
          <w:szCs w:val="24"/>
          <w:lang w:val="es-BO"/>
        </w:rPr>
      </w:pPr>
      <w:r w:rsidRPr="00526208">
        <w:rPr>
          <w:rFonts w:ascii="Arial" w:hAnsi="Arial" w:cs="Arial"/>
          <w:b/>
          <w:sz w:val="24"/>
          <w:szCs w:val="24"/>
          <w:lang w:val="es-BO"/>
        </w:rPr>
        <w:lastRenderedPageBreak/>
        <w:t>Cuadro 1</w:t>
      </w:r>
    </w:p>
    <w:p w:rsidR="005166EB" w:rsidRPr="00526208" w:rsidRDefault="005166EB" w:rsidP="00526208">
      <w:pPr>
        <w:spacing w:after="0" w:line="240" w:lineRule="auto"/>
        <w:jc w:val="center"/>
        <w:rPr>
          <w:rFonts w:ascii="Arial" w:hAnsi="Arial" w:cs="Arial"/>
          <w:b/>
          <w:sz w:val="24"/>
          <w:szCs w:val="24"/>
          <w:lang w:val="es-BO"/>
        </w:rPr>
      </w:pPr>
      <w:r w:rsidRPr="00526208">
        <w:rPr>
          <w:rFonts w:ascii="Arial" w:hAnsi="Arial" w:cs="Arial"/>
          <w:b/>
          <w:sz w:val="24"/>
          <w:szCs w:val="24"/>
          <w:lang w:val="es-BO"/>
        </w:rPr>
        <w:t>Áreas y Líneas de Investigación Priorizadas por el PNCTI</w:t>
      </w:r>
    </w:p>
    <w:p w:rsidR="006F5B83" w:rsidRPr="00526208" w:rsidRDefault="006F5B83" w:rsidP="005166EB">
      <w:pPr>
        <w:spacing w:after="0" w:line="240" w:lineRule="auto"/>
        <w:rPr>
          <w:rFonts w:ascii="Arial" w:hAnsi="Arial" w:cs="Arial"/>
          <w:b/>
          <w:sz w:val="24"/>
          <w:szCs w:val="24"/>
          <w:lang w:val="es-BO"/>
        </w:rPr>
      </w:pPr>
    </w:p>
    <w:tbl>
      <w:tblPr>
        <w:tblStyle w:val="Tablaconcuadrcula"/>
        <w:tblpPr w:leftFromText="141" w:rightFromText="141" w:vertAnchor="text" w:horzAnchor="margin" w:tblpXSpec="center" w:tblpY="-140"/>
        <w:tblW w:w="8784" w:type="dxa"/>
        <w:tblLayout w:type="fixed"/>
        <w:tblLook w:val="04A0" w:firstRow="1" w:lastRow="0" w:firstColumn="1" w:lastColumn="0" w:noHBand="0" w:noVBand="1"/>
      </w:tblPr>
      <w:tblGrid>
        <w:gridCol w:w="704"/>
        <w:gridCol w:w="2126"/>
        <w:gridCol w:w="5954"/>
      </w:tblGrid>
      <w:tr w:rsidR="005166EB" w:rsidRPr="0085092B" w:rsidTr="005166EB">
        <w:tc>
          <w:tcPr>
            <w:tcW w:w="704" w:type="dxa"/>
            <w:shd w:val="clear" w:color="auto" w:fill="000000" w:themeFill="text1"/>
          </w:tcPr>
          <w:p w:rsidR="005166EB" w:rsidRPr="0085092B" w:rsidRDefault="005166EB" w:rsidP="001A05A8">
            <w:pPr>
              <w:jc w:val="center"/>
              <w:rPr>
                <w:rFonts w:ascii="Arial Black" w:hAnsi="Arial Black" w:cs="Arial"/>
                <w:color w:val="FFFFFF" w:themeColor="background1"/>
                <w:sz w:val="20"/>
                <w:szCs w:val="20"/>
              </w:rPr>
            </w:pPr>
            <w:r w:rsidRPr="0085092B">
              <w:rPr>
                <w:rFonts w:ascii="Arial Black" w:hAnsi="Arial Black" w:cs="Arial"/>
                <w:color w:val="FFFFFF" w:themeColor="background1"/>
                <w:sz w:val="20"/>
                <w:szCs w:val="20"/>
              </w:rPr>
              <w:t>No.</w:t>
            </w:r>
          </w:p>
        </w:tc>
        <w:tc>
          <w:tcPr>
            <w:tcW w:w="2126" w:type="dxa"/>
            <w:shd w:val="clear" w:color="auto" w:fill="000000" w:themeFill="text1"/>
          </w:tcPr>
          <w:p w:rsidR="005166EB" w:rsidRPr="0085092B" w:rsidRDefault="005166EB" w:rsidP="001A05A8">
            <w:pPr>
              <w:jc w:val="center"/>
              <w:rPr>
                <w:rFonts w:ascii="Arial Black" w:hAnsi="Arial Black" w:cs="Arial"/>
                <w:color w:val="FFFFFF" w:themeColor="background1"/>
                <w:sz w:val="20"/>
                <w:szCs w:val="20"/>
              </w:rPr>
            </w:pPr>
            <w:r w:rsidRPr="0085092B">
              <w:rPr>
                <w:rFonts w:ascii="Arial Black" w:hAnsi="Arial Black" w:cs="Arial"/>
                <w:color w:val="FFFFFF" w:themeColor="background1"/>
                <w:sz w:val="20"/>
                <w:szCs w:val="20"/>
              </w:rPr>
              <w:t>ÁREA</w:t>
            </w:r>
          </w:p>
        </w:tc>
        <w:tc>
          <w:tcPr>
            <w:tcW w:w="5954" w:type="dxa"/>
            <w:shd w:val="clear" w:color="auto" w:fill="000000" w:themeFill="text1"/>
          </w:tcPr>
          <w:p w:rsidR="005166EB" w:rsidRPr="0085092B" w:rsidRDefault="005166EB" w:rsidP="001A05A8">
            <w:pPr>
              <w:jc w:val="center"/>
              <w:rPr>
                <w:rFonts w:ascii="Arial Black" w:hAnsi="Arial Black" w:cs="Arial"/>
                <w:color w:val="FFFFFF" w:themeColor="background1"/>
                <w:sz w:val="20"/>
                <w:szCs w:val="20"/>
              </w:rPr>
            </w:pPr>
            <w:r w:rsidRPr="0085092B">
              <w:rPr>
                <w:rFonts w:ascii="Arial Black" w:hAnsi="Arial Black" w:cs="Arial"/>
                <w:color w:val="FFFFFF" w:themeColor="background1"/>
                <w:sz w:val="20"/>
                <w:szCs w:val="20"/>
              </w:rPr>
              <w:t>LÍNEA</w:t>
            </w:r>
          </w:p>
        </w:tc>
      </w:tr>
      <w:tr w:rsidR="005166EB" w:rsidRPr="00B80977" w:rsidTr="005166EB">
        <w:trPr>
          <w:trHeight w:hRule="exact" w:val="284"/>
        </w:trPr>
        <w:tc>
          <w:tcPr>
            <w:tcW w:w="704" w:type="dxa"/>
            <w:vMerge w:val="restart"/>
            <w:shd w:val="clear" w:color="auto" w:fill="BFBFBF" w:themeFill="background1" w:themeFillShade="BF"/>
          </w:tcPr>
          <w:p w:rsidR="005166EB" w:rsidRPr="00F73D73" w:rsidRDefault="005166EB" w:rsidP="001A05A8">
            <w:pPr>
              <w:jc w:val="center"/>
              <w:rPr>
                <w:rFonts w:ascii="Arial Narrow" w:hAnsi="Arial Narrow" w:cs="Arial"/>
                <w:b/>
                <w:sz w:val="18"/>
                <w:szCs w:val="18"/>
              </w:rPr>
            </w:pPr>
          </w:p>
          <w:p w:rsidR="005166EB" w:rsidRPr="00F73D73" w:rsidRDefault="005166EB" w:rsidP="001A05A8">
            <w:pPr>
              <w:jc w:val="center"/>
              <w:rPr>
                <w:rFonts w:ascii="Arial Narrow" w:hAnsi="Arial Narrow" w:cs="Arial"/>
                <w:b/>
                <w:sz w:val="18"/>
                <w:szCs w:val="18"/>
              </w:rPr>
            </w:pPr>
          </w:p>
          <w:p w:rsidR="005166EB" w:rsidRPr="00F73D73" w:rsidRDefault="005166EB" w:rsidP="001A05A8">
            <w:pPr>
              <w:jc w:val="center"/>
              <w:rPr>
                <w:rFonts w:ascii="Arial Narrow" w:hAnsi="Arial Narrow" w:cs="Arial"/>
                <w:b/>
                <w:sz w:val="18"/>
                <w:szCs w:val="18"/>
              </w:rPr>
            </w:pPr>
            <w:r w:rsidRPr="00F73D73">
              <w:rPr>
                <w:rFonts w:ascii="Arial Narrow" w:hAnsi="Arial Narrow" w:cs="Arial"/>
                <w:b/>
                <w:sz w:val="18"/>
                <w:szCs w:val="18"/>
              </w:rPr>
              <w:t>1</w:t>
            </w:r>
          </w:p>
        </w:tc>
        <w:tc>
          <w:tcPr>
            <w:tcW w:w="2126" w:type="dxa"/>
            <w:vMerge w:val="restart"/>
            <w:shd w:val="clear" w:color="auto" w:fill="BFBFBF" w:themeFill="background1" w:themeFillShade="BF"/>
          </w:tcPr>
          <w:p w:rsidR="005166EB" w:rsidRPr="005166EB" w:rsidRDefault="005166EB" w:rsidP="001A05A8">
            <w:pPr>
              <w:rPr>
                <w:rFonts w:ascii="Arial Narrow" w:hAnsi="Arial Narrow" w:cs="Arial"/>
                <w:b/>
                <w:sz w:val="16"/>
                <w:szCs w:val="16"/>
                <w:lang w:val="es-BO"/>
              </w:rPr>
            </w:pPr>
          </w:p>
          <w:p w:rsidR="005166EB" w:rsidRPr="005166EB" w:rsidRDefault="005166EB" w:rsidP="001A05A8">
            <w:pPr>
              <w:rPr>
                <w:rFonts w:ascii="Arial Narrow" w:hAnsi="Arial Narrow" w:cs="Arial"/>
                <w:b/>
                <w:sz w:val="16"/>
                <w:szCs w:val="16"/>
                <w:lang w:val="es-BO"/>
              </w:rPr>
            </w:pPr>
          </w:p>
          <w:p w:rsidR="005166EB" w:rsidRPr="005166EB" w:rsidRDefault="005166EB" w:rsidP="001A05A8">
            <w:pPr>
              <w:rPr>
                <w:rFonts w:ascii="Arial Narrow" w:hAnsi="Arial Narrow" w:cs="Arial"/>
                <w:b/>
                <w:sz w:val="16"/>
                <w:szCs w:val="16"/>
                <w:lang w:val="es-BO"/>
              </w:rPr>
            </w:pPr>
            <w:r w:rsidRPr="005166EB">
              <w:rPr>
                <w:rFonts w:ascii="Arial Narrow" w:hAnsi="Arial Narrow" w:cs="Arial"/>
                <w:b/>
                <w:sz w:val="16"/>
                <w:szCs w:val="16"/>
                <w:lang w:val="es-BO"/>
              </w:rPr>
              <w:t>SALUD Y CIENCIAS DE LA VIDA</w:t>
            </w: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Enfermedades Infecciosas, Contagiosas, epidemias y pandemias</w:t>
            </w:r>
          </w:p>
        </w:tc>
      </w:tr>
      <w:tr w:rsidR="005166EB" w:rsidRPr="00B80977" w:rsidTr="005166EB">
        <w:trPr>
          <w:trHeight w:hRule="exact" w:val="427"/>
        </w:trPr>
        <w:tc>
          <w:tcPr>
            <w:tcW w:w="704" w:type="dxa"/>
            <w:vMerge/>
            <w:shd w:val="clear" w:color="auto" w:fill="BFBFBF" w:themeFill="background1" w:themeFillShade="BF"/>
          </w:tcPr>
          <w:p w:rsidR="005166EB" w:rsidRPr="005166EB" w:rsidRDefault="005166EB" w:rsidP="001A05A8">
            <w:pPr>
              <w:jc w:val="center"/>
              <w:rPr>
                <w:rFonts w:ascii="Arial Narrow" w:hAnsi="Arial Narrow" w:cs="Arial"/>
                <w:b/>
                <w:sz w:val="18"/>
                <w:szCs w:val="18"/>
                <w:lang w:val="es-BO"/>
              </w:rPr>
            </w:pPr>
          </w:p>
        </w:tc>
        <w:tc>
          <w:tcPr>
            <w:tcW w:w="2126" w:type="dxa"/>
            <w:vMerge/>
            <w:shd w:val="clear" w:color="auto" w:fill="BFBFBF" w:themeFill="background1" w:themeFillShade="BF"/>
          </w:tcPr>
          <w:p w:rsidR="005166EB" w:rsidRPr="005166EB" w:rsidRDefault="005166EB" w:rsidP="001A05A8">
            <w:pPr>
              <w:rPr>
                <w:rFonts w:ascii="Arial Narrow" w:hAnsi="Arial Narrow" w:cs="Arial"/>
                <w:b/>
                <w:sz w:val="16"/>
                <w:szCs w:val="16"/>
                <w:lang w:val="es-BO"/>
              </w:rPr>
            </w:pP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Diagnóstico, prevención, control y tratamiento de enfermedades no infecciosas, metabólicas y genéticas prevalentes</w:t>
            </w:r>
          </w:p>
        </w:tc>
      </w:tr>
      <w:tr w:rsidR="005166EB" w:rsidRPr="00B80977" w:rsidTr="005166EB">
        <w:trPr>
          <w:trHeight w:hRule="exact" w:val="419"/>
        </w:trPr>
        <w:tc>
          <w:tcPr>
            <w:tcW w:w="704" w:type="dxa"/>
            <w:vMerge/>
            <w:shd w:val="clear" w:color="auto" w:fill="BFBFBF" w:themeFill="background1" w:themeFillShade="BF"/>
          </w:tcPr>
          <w:p w:rsidR="005166EB" w:rsidRPr="005166EB" w:rsidRDefault="005166EB" w:rsidP="001A05A8">
            <w:pPr>
              <w:jc w:val="center"/>
              <w:rPr>
                <w:rFonts w:ascii="Arial Narrow" w:hAnsi="Arial Narrow" w:cs="Arial"/>
                <w:b/>
                <w:sz w:val="18"/>
                <w:szCs w:val="18"/>
                <w:lang w:val="es-BO"/>
              </w:rPr>
            </w:pPr>
          </w:p>
        </w:tc>
        <w:tc>
          <w:tcPr>
            <w:tcW w:w="2126" w:type="dxa"/>
            <w:vMerge/>
            <w:shd w:val="clear" w:color="auto" w:fill="BFBFBF" w:themeFill="background1" w:themeFillShade="BF"/>
          </w:tcPr>
          <w:p w:rsidR="005166EB" w:rsidRPr="005166EB" w:rsidRDefault="005166EB" w:rsidP="001A05A8">
            <w:pPr>
              <w:rPr>
                <w:rFonts w:ascii="Arial Narrow" w:hAnsi="Arial Narrow" w:cs="Arial"/>
                <w:b/>
                <w:sz w:val="16"/>
                <w:szCs w:val="16"/>
                <w:lang w:val="es-BO"/>
              </w:rPr>
            </w:pP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Factores y determinantes de  Salud:  sociales, económicos, educación, ambientales, nutrición y laborales</w:t>
            </w:r>
          </w:p>
        </w:tc>
      </w:tr>
      <w:tr w:rsidR="005166EB" w:rsidRPr="00B80977" w:rsidTr="005166EB">
        <w:trPr>
          <w:trHeight w:hRule="exact" w:val="284"/>
        </w:trPr>
        <w:tc>
          <w:tcPr>
            <w:tcW w:w="704" w:type="dxa"/>
            <w:vMerge/>
            <w:shd w:val="clear" w:color="auto" w:fill="BFBFBF" w:themeFill="background1" w:themeFillShade="BF"/>
          </w:tcPr>
          <w:p w:rsidR="005166EB" w:rsidRPr="005166EB" w:rsidRDefault="005166EB" w:rsidP="001A05A8">
            <w:pPr>
              <w:jc w:val="center"/>
              <w:rPr>
                <w:rFonts w:ascii="Arial Narrow" w:hAnsi="Arial Narrow" w:cs="Arial"/>
                <w:b/>
                <w:sz w:val="18"/>
                <w:szCs w:val="18"/>
                <w:lang w:val="es-BO"/>
              </w:rPr>
            </w:pPr>
          </w:p>
        </w:tc>
        <w:tc>
          <w:tcPr>
            <w:tcW w:w="2126" w:type="dxa"/>
            <w:vMerge/>
            <w:shd w:val="clear" w:color="auto" w:fill="BFBFBF" w:themeFill="background1" w:themeFillShade="BF"/>
          </w:tcPr>
          <w:p w:rsidR="005166EB" w:rsidRPr="005166EB" w:rsidRDefault="005166EB" w:rsidP="001A05A8">
            <w:pPr>
              <w:rPr>
                <w:rFonts w:ascii="Arial Narrow" w:hAnsi="Arial Narrow" w:cs="Arial"/>
                <w:b/>
                <w:sz w:val="16"/>
                <w:szCs w:val="16"/>
                <w:lang w:val="es-BO"/>
              </w:rPr>
            </w:pP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 xml:space="preserve">Formulación, industrialización y control de medicamentos </w:t>
            </w:r>
          </w:p>
        </w:tc>
      </w:tr>
      <w:tr w:rsidR="005166EB" w:rsidRPr="00B80977" w:rsidTr="005166EB">
        <w:trPr>
          <w:trHeight w:hRule="exact" w:val="284"/>
        </w:trPr>
        <w:tc>
          <w:tcPr>
            <w:tcW w:w="704" w:type="dxa"/>
            <w:vMerge/>
            <w:shd w:val="clear" w:color="auto" w:fill="BFBFBF" w:themeFill="background1" w:themeFillShade="BF"/>
          </w:tcPr>
          <w:p w:rsidR="005166EB" w:rsidRPr="005166EB" w:rsidRDefault="005166EB" w:rsidP="001A05A8">
            <w:pPr>
              <w:jc w:val="center"/>
              <w:rPr>
                <w:rFonts w:ascii="Arial Narrow" w:hAnsi="Arial Narrow" w:cs="Arial"/>
                <w:b/>
                <w:sz w:val="18"/>
                <w:szCs w:val="18"/>
                <w:lang w:val="es-BO"/>
              </w:rPr>
            </w:pPr>
          </w:p>
        </w:tc>
        <w:tc>
          <w:tcPr>
            <w:tcW w:w="2126" w:type="dxa"/>
            <w:vMerge/>
            <w:shd w:val="clear" w:color="auto" w:fill="BFBFBF" w:themeFill="background1" w:themeFillShade="BF"/>
          </w:tcPr>
          <w:p w:rsidR="005166EB" w:rsidRPr="005166EB" w:rsidRDefault="005166EB" w:rsidP="001A05A8">
            <w:pPr>
              <w:rPr>
                <w:rFonts w:ascii="Arial Narrow" w:hAnsi="Arial Narrow" w:cs="Arial"/>
                <w:b/>
                <w:sz w:val="16"/>
                <w:szCs w:val="16"/>
                <w:lang w:val="es-BO"/>
              </w:rPr>
            </w:pP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Medicina natural, tradicional, herbolaria y salud intercultural</w:t>
            </w:r>
          </w:p>
        </w:tc>
      </w:tr>
      <w:tr w:rsidR="005166EB" w:rsidRPr="00B80977" w:rsidTr="005166EB">
        <w:trPr>
          <w:trHeight w:hRule="exact" w:val="432"/>
        </w:trPr>
        <w:tc>
          <w:tcPr>
            <w:tcW w:w="704" w:type="dxa"/>
            <w:vMerge w:val="restart"/>
          </w:tcPr>
          <w:p w:rsidR="005166EB" w:rsidRPr="005166EB" w:rsidRDefault="005166EB" w:rsidP="001A05A8">
            <w:pPr>
              <w:jc w:val="center"/>
              <w:rPr>
                <w:rFonts w:ascii="Arial Narrow" w:hAnsi="Arial Narrow"/>
                <w:b/>
                <w:sz w:val="18"/>
                <w:szCs w:val="18"/>
                <w:lang w:val="es-BO"/>
              </w:rPr>
            </w:pPr>
          </w:p>
          <w:p w:rsidR="005166EB" w:rsidRPr="00F73D73" w:rsidRDefault="005166EB" w:rsidP="001A05A8">
            <w:pPr>
              <w:jc w:val="center"/>
              <w:rPr>
                <w:rFonts w:ascii="Arial Narrow" w:hAnsi="Arial Narrow"/>
                <w:b/>
                <w:sz w:val="18"/>
                <w:szCs w:val="18"/>
              </w:rPr>
            </w:pPr>
            <w:r w:rsidRPr="00F73D73">
              <w:rPr>
                <w:rFonts w:ascii="Arial Narrow" w:hAnsi="Arial Narrow"/>
                <w:b/>
                <w:sz w:val="18"/>
                <w:szCs w:val="18"/>
              </w:rPr>
              <w:t>2</w:t>
            </w:r>
          </w:p>
        </w:tc>
        <w:tc>
          <w:tcPr>
            <w:tcW w:w="2126" w:type="dxa"/>
            <w:vMerge w:val="restart"/>
          </w:tcPr>
          <w:p w:rsidR="005166EB" w:rsidRDefault="005166EB" w:rsidP="001A05A8">
            <w:pPr>
              <w:rPr>
                <w:rFonts w:ascii="Arial Narrow" w:hAnsi="Arial Narrow"/>
                <w:b/>
                <w:sz w:val="16"/>
                <w:szCs w:val="16"/>
              </w:rPr>
            </w:pPr>
          </w:p>
          <w:p w:rsidR="005166EB" w:rsidRPr="00B63C3A" w:rsidRDefault="005166EB" w:rsidP="001A05A8">
            <w:pPr>
              <w:rPr>
                <w:rFonts w:ascii="Arial Narrow" w:hAnsi="Arial Narrow"/>
                <w:b/>
                <w:sz w:val="16"/>
                <w:szCs w:val="16"/>
              </w:rPr>
            </w:pPr>
            <w:r w:rsidRPr="00B63C3A">
              <w:rPr>
                <w:rFonts w:ascii="Arial Narrow" w:hAnsi="Arial Narrow"/>
                <w:b/>
                <w:sz w:val="16"/>
                <w:szCs w:val="16"/>
              </w:rPr>
              <w:t>AGROPECUARIA Y FORESTAL</w:t>
            </w:r>
          </w:p>
        </w:tc>
        <w:tc>
          <w:tcPr>
            <w:tcW w:w="5954" w:type="dxa"/>
          </w:tcPr>
          <w:p w:rsidR="005166EB" w:rsidRPr="005166EB" w:rsidRDefault="005166EB" w:rsidP="001A05A8">
            <w:pPr>
              <w:rPr>
                <w:rFonts w:ascii="Arial Narrow" w:hAnsi="Arial Narrow"/>
                <w:sz w:val="16"/>
                <w:szCs w:val="16"/>
                <w:lang w:val="es-BO"/>
              </w:rPr>
            </w:pPr>
            <w:r w:rsidRPr="005166EB">
              <w:rPr>
                <w:rFonts w:ascii="Arial Narrow" w:hAnsi="Arial Narrow"/>
                <w:sz w:val="16"/>
                <w:szCs w:val="16"/>
                <w:lang w:val="es-BO"/>
              </w:rPr>
              <w:t>Biotecnología en genética, producción y conservación agropecuaria y forestal: seguridad y soberanía alimentaria</w:t>
            </w:r>
          </w:p>
        </w:tc>
      </w:tr>
      <w:tr w:rsidR="005166EB" w:rsidRPr="00B80977" w:rsidTr="005166EB">
        <w:trPr>
          <w:trHeight w:hRule="exact" w:val="284"/>
        </w:trPr>
        <w:tc>
          <w:tcPr>
            <w:tcW w:w="704" w:type="dxa"/>
            <w:vMerge/>
          </w:tcPr>
          <w:p w:rsidR="005166EB" w:rsidRPr="005166EB" w:rsidRDefault="005166EB" w:rsidP="001A05A8">
            <w:pPr>
              <w:jc w:val="center"/>
              <w:rPr>
                <w:rFonts w:ascii="Arial Narrow" w:hAnsi="Arial Narrow"/>
                <w:b/>
                <w:sz w:val="18"/>
                <w:szCs w:val="18"/>
                <w:lang w:val="es-BO"/>
              </w:rPr>
            </w:pPr>
          </w:p>
        </w:tc>
        <w:tc>
          <w:tcPr>
            <w:tcW w:w="2126" w:type="dxa"/>
            <w:vMerge/>
          </w:tcPr>
          <w:p w:rsidR="005166EB" w:rsidRPr="005166EB" w:rsidRDefault="005166EB" w:rsidP="001A05A8">
            <w:pPr>
              <w:rPr>
                <w:rFonts w:ascii="Arial Narrow" w:hAnsi="Arial Narrow"/>
                <w:b/>
                <w:sz w:val="16"/>
                <w:szCs w:val="16"/>
                <w:lang w:val="es-BO"/>
              </w:rPr>
            </w:pPr>
          </w:p>
        </w:tc>
        <w:tc>
          <w:tcPr>
            <w:tcW w:w="5954" w:type="dxa"/>
          </w:tcPr>
          <w:p w:rsidR="005166EB" w:rsidRPr="005166EB" w:rsidRDefault="005166EB" w:rsidP="001A05A8">
            <w:pPr>
              <w:rPr>
                <w:rFonts w:ascii="Arial Narrow" w:hAnsi="Arial Narrow"/>
                <w:sz w:val="16"/>
                <w:szCs w:val="16"/>
                <w:lang w:val="es-BO"/>
              </w:rPr>
            </w:pPr>
            <w:r w:rsidRPr="005166EB">
              <w:rPr>
                <w:rFonts w:ascii="Arial Narrow" w:hAnsi="Arial Narrow"/>
                <w:sz w:val="16"/>
                <w:szCs w:val="16"/>
                <w:lang w:val="es-BO"/>
              </w:rPr>
              <w:t xml:space="preserve">Sanidad, trasformación, industrialización y comercialización agropecuaria y forestal </w:t>
            </w:r>
          </w:p>
        </w:tc>
      </w:tr>
      <w:tr w:rsidR="005166EB" w:rsidRPr="00B80977" w:rsidTr="005166EB">
        <w:trPr>
          <w:trHeight w:hRule="exact" w:val="284"/>
        </w:trPr>
        <w:tc>
          <w:tcPr>
            <w:tcW w:w="704" w:type="dxa"/>
            <w:vMerge/>
          </w:tcPr>
          <w:p w:rsidR="005166EB" w:rsidRPr="005166EB" w:rsidRDefault="005166EB" w:rsidP="001A05A8">
            <w:pPr>
              <w:jc w:val="center"/>
              <w:rPr>
                <w:rFonts w:ascii="Arial Narrow" w:hAnsi="Arial Narrow"/>
                <w:b/>
                <w:sz w:val="18"/>
                <w:szCs w:val="18"/>
                <w:lang w:val="es-BO"/>
              </w:rPr>
            </w:pPr>
          </w:p>
        </w:tc>
        <w:tc>
          <w:tcPr>
            <w:tcW w:w="2126" w:type="dxa"/>
            <w:vMerge/>
          </w:tcPr>
          <w:p w:rsidR="005166EB" w:rsidRPr="005166EB" w:rsidRDefault="005166EB" w:rsidP="001A05A8">
            <w:pPr>
              <w:rPr>
                <w:rFonts w:ascii="Arial Narrow" w:hAnsi="Arial Narrow"/>
                <w:b/>
                <w:sz w:val="16"/>
                <w:szCs w:val="16"/>
                <w:lang w:val="es-BO"/>
              </w:rPr>
            </w:pPr>
          </w:p>
        </w:tc>
        <w:tc>
          <w:tcPr>
            <w:tcW w:w="5954" w:type="dxa"/>
          </w:tcPr>
          <w:p w:rsidR="005166EB" w:rsidRPr="005166EB" w:rsidRDefault="005166EB" w:rsidP="001A05A8">
            <w:pPr>
              <w:rPr>
                <w:rFonts w:ascii="Arial Narrow" w:hAnsi="Arial Narrow"/>
                <w:sz w:val="16"/>
                <w:szCs w:val="16"/>
                <w:lang w:val="es-BO"/>
              </w:rPr>
            </w:pPr>
            <w:r w:rsidRPr="005166EB">
              <w:rPr>
                <w:rFonts w:ascii="Arial Narrow" w:hAnsi="Arial Narrow"/>
                <w:sz w:val="16"/>
                <w:szCs w:val="16"/>
                <w:lang w:val="es-BO"/>
              </w:rPr>
              <w:t>Gestión, aprovechamiento y edafología sustentable de suelos, agua, fertilizantes y agroclimáticos</w:t>
            </w:r>
          </w:p>
        </w:tc>
      </w:tr>
      <w:tr w:rsidR="005166EB" w:rsidRPr="00B80977" w:rsidTr="005166EB">
        <w:trPr>
          <w:trHeight w:hRule="exact" w:val="432"/>
        </w:trPr>
        <w:tc>
          <w:tcPr>
            <w:tcW w:w="704" w:type="dxa"/>
            <w:vMerge w:val="restart"/>
            <w:shd w:val="clear" w:color="auto" w:fill="BFBFBF" w:themeFill="background1" w:themeFillShade="BF"/>
          </w:tcPr>
          <w:p w:rsidR="005166EB" w:rsidRPr="005166EB" w:rsidRDefault="005166EB" w:rsidP="001A05A8">
            <w:pPr>
              <w:jc w:val="center"/>
              <w:rPr>
                <w:rFonts w:ascii="Arial Narrow" w:hAnsi="Arial Narrow" w:cs="Arial"/>
                <w:b/>
                <w:sz w:val="18"/>
                <w:szCs w:val="18"/>
                <w:lang w:val="es-BO"/>
              </w:rPr>
            </w:pPr>
          </w:p>
          <w:p w:rsidR="005166EB" w:rsidRPr="00F73D73" w:rsidRDefault="005166EB" w:rsidP="001A05A8">
            <w:pPr>
              <w:jc w:val="center"/>
              <w:rPr>
                <w:rFonts w:ascii="Arial Narrow" w:hAnsi="Arial Narrow" w:cs="Arial"/>
                <w:b/>
                <w:sz w:val="18"/>
                <w:szCs w:val="18"/>
              </w:rPr>
            </w:pPr>
            <w:r w:rsidRPr="00F73D73">
              <w:rPr>
                <w:rFonts w:ascii="Arial Narrow" w:hAnsi="Arial Narrow" w:cs="Arial"/>
                <w:b/>
                <w:sz w:val="18"/>
                <w:szCs w:val="18"/>
              </w:rPr>
              <w:t>3</w:t>
            </w:r>
          </w:p>
        </w:tc>
        <w:tc>
          <w:tcPr>
            <w:tcW w:w="2126" w:type="dxa"/>
            <w:vMerge w:val="restart"/>
            <w:shd w:val="clear" w:color="auto" w:fill="BFBFBF" w:themeFill="background1" w:themeFillShade="BF"/>
          </w:tcPr>
          <w:p w:rsidR="005166EB" w:rsidRPr="005166EB" w:rsidRDefault="005166EB" w:rsidP="001A05A8">
            <w:pPr>
              <w:rPr>
                <w:rFonts w:ascii="Arial Narrow" w:hAnsi="Arial Narrow" w:cs="Arial"/>
                <w:b/>
                <w:sz w:val="16"/>
                <w:szCs w:val="16"/>
                <w:lang w:val="es-BO"/>
              </w:rPr>
            </w:pPr>
            <w:r w:rsidRPr="005166EB">
              <w:rPr>
                <w:rFonts w:ascii="Arial Narrow" w:hAnsi="Arial Narrow" w:cs="Arial"/>
                <w:b/>
                <w:sz w:val="16"/>
                <w:szCs w:val="16"/>
                <w:lang w:val="es-BO"/>
              </w:rPr>
              <w:t>BIODIVERSIDAD, RRNN Y MEDIO AMBIENTE</w:t>
            </w: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Gestión, manejo, aprovechamiento,  y conservación sostenible de  la biodiversidad y los ecosistemas:</w:t>
            </w:r>
            <w:r w:rsidRPr="005166EB">
              <w:rPr>
                <w:sz w:val="16"/>
                <w:szCs w:val="16"/>
                <w:lang w:val="es-BO"/>
              </w:rPr>
              <w:t xml:space="preserve"> </w:t>
            </w:r>
            <w:r w:rsidRPr="005166EB">
              <w:rPr>
                <w:rFonts w:ascii="Arial Narrow" w:hAnsi="Arial Narrow" w:cs="Arial"/>
                <w:sz w:val="16"/>
                <w:szCs w:val="16"/>
                <w:lang w:val="es-BO"/>
              </w:rPr>
              <w:t xml:space="preserve">hábitats, tierras, flora y fauna </w:t>
            </w:r>
          </w:p>
        </w:tc>
      </w:tr>
      <w:tr w:rsidR="005166EB" w:rsidRPr="00B80977" w:rsidTr="005166EB">
        <w:trPr>
          <w:trHeight w:hRule="exact" w:val="424"/>
        </w:trPr>
        <w:tc>
          <w:tcPr>
            <w:tcW w:w="704" w:type="dxa"/>
            <w:vMerge/>
            <w:shd w:val="clear" w:color="auto" w:fill="BFBFBF" w:themeFill="background1" w:themeFillShade="BF"/>
          </w:tcPr>
          <w:p w:rsidR="005166EB" w:rsidRPr="005166EB" w:rsidRDefault="005166EB" w:rsidP="001A05A8">
            <w:pPr>
              <w:jc w:val="center"/>
              <w:rPr>
                <w:rFonts w:ascii="Arial Narrow" w:hAnsi="Arial Narrow" w:cs="Arial"/>
                <w:b/>
                <w:sz w:val="18"/>
                <w:szCs w:val="18"/>
                <w:lang w:val="es-BO"/>
              </w:rPr>
            </w:pPr>
          </w:p>
        </w:tc>
        <w:tc>
          <w:tcPr>
            <w:tcW w:w="2126" w:type="dxa"/>
            <w:vMerge/>
            <w:shd w:val="clear" w:color="auto" w:fill="BFBFBF" w:themeFill="background1" w:themeFillShade="BF"/>
          </w:tcPr>
          <w:p w:rsidR="005166EB" w:rsidRPr="005166EB" w:rsidRDefault="005166EB" w:rsidP="001A05A8">
            <w:pPr>
              <w:rPr>
                <w:rFonts w:ascii="Arial Narrow" w:hAnsi="Arial Narrow" w:cs="Arial"/>
                <w:b/>
                <w:sz w:val="16"/>
                <w:szCs w:val="16"/>
                <w:lang w:val="es-BO"/>
              </w:rPr>
            </w:pP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Control y reducción de: residuos, degradación, riesgos y contaminación   para la protección y conservación de MA</w:t>
            </w:r>
          </w:p>
        </w:tc>
      </w:tr>
      <w:tr w:rsidR="005166EB" w:rsidRPr="00B80977" w:rsidTr="005166EB">
        <w:trPr>
          <w:trHeight w:hRule="exact" w:val="284"/>
        </w:trPr>
        <w:tc>
          <w:tcPr>
            <w:tcW w:w="704" w:type="dxa"/>
            <w:vMerge w:val="restart"/>
          </w:tcPr>
          <w:p w:rsidR="005166EB" w:rsidRPr="005166EB" w:rsidRDefault="005166EB" w:rsidP="001A05A8">
            <w:pPr>
              <w:contextualSpacing/>
              <w:jc w:val="center"/>
              <w:rPr>
                <w:rFonts w:ascii="Arial Narrow" w:hAnsi="Arial Narrow" w:cs="Arial"/>
                <w:b/>
                <w:sz w:val="18"/>
                <w:szCs w:val="18"/>
                <w:lang w:val="es-BO"/>
              </w:rPr>
            </w:pPr>
          </w:p>
          <w:p w:rsidR="005166EB" w:rsidRPr="00F73D73" w:rsidRDefault="005166EB" w:rsidP="001A05A8">
            <w:pPr>
              <w:contextualSpacing/>
              <w:jc w:val="center"/>
              <w:rPr>
                <w:rFonts w:ascii="Arial Narrow" w:hAnsi="Arial Narrow" w:cs="Arial"/>
                <w:b/>
                <w:sz w:val="18"/>
                <w:szCs w:val="18"/>
              </w:rPr>
            </w:pPr>
            <w:r w:rsidRPr="00F73D73">
              <w:rPr>
                <w:rFonts w:ascii="Arial Narrow" w:hAnsi="Arial Narrow" w:cs="Arial"/>
                <w:b/>
                <w:sz w:val="18"/>
                <w:szCs w:val="18"/>
              </w:rPr>
              <w:t>4</w:t>
            </w:r>
          </w:p>
        </w:tc>
        <w:tc>
          <w:tcPr>
            <w:tcW w:w="2126" w:type="dxa"/>
            <w:vMerge w:val="restart"/>
          </w:tcPr>
          <w:p w:rsidR="005166EB" w:rsidRPr="005166EB" w:rsidRDefault="005166EB" w:rsidP="001A05A8">
            <w:pPr>
              <w:contextualSpacing/>
              <w:rPr>
                <w:rFonts w:ascii="Arial Narrow" w:hAnsi="Arial Narrow" w:cs="Arial"/>
                <w:b/>
                <w:sz w:val="16"/>
                <w:szCs w:val="16"/>
                <w:shd w:val="clear" w:color="auto" w:fill="FFFFFF"/>
                <w:lang w:val="es-BO"/>
              </w:rPr>
            </w:pPr>
            <w:r w:rsidRPr="005166EB">
              <w:rPr>
                <w:rFonts w:ascii="Arial Narrow" w:hAnsi="Arial Narrow" w:cs="Arial"/>
                <w:b/>
                <w:sz w:val="16"/>
                <w:szCs w:val="16"/>
                <w:lang w:val="es-BO"/>
              </w:rPr>
              <w:t>MITIGACIÓN Y ADAPTACIÓN AL CAMBIO CLIMÁTICO</w:t>
            </w:r>
          </w:p>
        </w:tc>
        <w:tc>
          <w:tcPr>
            <w:tcW w:w="5954" w:type="dxa"/>
          </w:tcPr>
          <w:p w:rsidR="005166EB" w:rsidRPr="005166EB" w:rsidRDefault="005166EB" w:rsidP="001A05A8">
            <w:pPr>
              <w:contextualSpacing/>
              <w:rPr>
                <w:rFonts w:ascii="Arial Narrow" w:hAnsi="Arial Narrow" w:cs="Arial"/>
                <w:sz w:val="16"/>
                <w:szCs w:val="16"/>
                <w:lang w:val="es-BO"/>
              </w:rPr>
            </w:pPr>
            <w:r w:rsidRPr="005166EB">
              <w:rPr>
                <w:rFonts w:ascii="Arial Narrow" w:hAnsi="Arial Narrow" w:cs="Arial"/>
                <w:sz w:val="16"/>
                <w:szCs w:val="16"/>
                <w:shd w:val="clear" w:color="auto" w:fill="FFFFFF"/>
                <w:lang w:val="es-BO"/>
              </w:rPr>
              <w:t>Mitigación, adaptación y resiliencia al</w:t>
            </w:r>
            <w:r w:rsidRPr="005166EB">
              <w:rPr>
                <w:rStyle w:val="apple-converted-space"/>
                <w:rFonts w:ascii="Arial Narrow" w:hAnsi="Arial Narrow" w:cs="Arial"/>
                <w:sz w:val="16"/>
                <w:szCs w:val="16"/>
                <w:shd w:val="clear" w:color="auto" w:fill="FFFFFF"/>
                <w:lang w:val="es-BO"/>
              </w:rPr>
              <w:t> </w:t>
            </w:r>
            <w:r w:rsidRPr="005166EB">
              <w:rPr>
                <w:rStyle w:val="nfasis"/>
                <w:rFonts w:ascii="Arial Narrow" w:hAnsi="Arial Narrow" w:cs="Arial"/>
                <w:bCs/>
                <w:sz w:val="16"/>
                <w:szCs w:val="16"/>
                <w:shd w:val="clear" w:color="auto" w:fill="FFFFFF"/>
                <w:lang w:val="es-BO"/>
              </w:rPr>
              <w:t>cambio climático</w:t>
            </w:r>
            <w:r w:rsidRPr="005166EB">
              <w:rPr>
                <w:rFonts w:ascii="Arial Narrow" w:hAnsi="Arial Narrow" w:cs="Arial"/>
                <w:sz w:val="16"/>
                <w:szCs w:val="16"/>
                <w:shd w:val="clear" w:color="auto" w:fill="FFFFFF"/>
                <w:lang w:val="es-BO"/>
              </w:rPr>
              <w:t>.</w:t>
            </w:r>
          </w:p>
        </w:tc>
      </w:tr>
      <w:tr w:rsidR="005166EB" w:rsidRPr="00B80977" w:rsidTr="005166EB">
        <w:trPr>
          <w:trHeight w:hRule="exact" w:val="284"/>
        </w:trPr>
        <w:tc>
          <w:tcPr>
            <w:tcW w:w="704" w:type="dxa"/>
            <w:vMerge/>
          </w:tcPr>
          <w:p w:rsidR="005166EB" w:rsidRPr="005166EB" w:rsidRDefault="005166EB" w:rsidP="001A05A8">
            <w:pPr>
              <w:contextualSpacing/>
              <w:jc w:val="center"/>
              <w:rPr>
                <w:rFonts w:ascii="Arial Narrow" w:hAnsi="Arial Narrow" w:cs="Arial"/>
                <w:b/>
                <w:sz w:val="18"/>
                <w:szCs w:val="18"/>
                <w:lang w:val="es-BO"/>
              </w:rPr>
            </w:pPr>
          </w:p>
        </w:tc>
        <w:tc>
          <w:tcPr>
            <w:tcW w:w="2126" w:type="dxa"/>
            <w:vMerge/>
          </w:tcPr>
          <w:p w:rsidR="005166EB" w:rsidRPr="005166EB" w:rsidRDefault="005166EB" w:rsidP="001A05A8">
            <w:pPr>
              <w:contextualSpacing/>
              <w:rPr>
                <w:rFonts w:ascii="Arial Narrow" w:hAnsi="Arial Narrow" w:cs="Arial"/>
                <w:b/>
                <w:sz w:val="16"/>
                <w:szCs w:val="16"/>
                <w:lang w:val="es-BO"/>
              </w:rPr>
            </w:pPr>
          </w:p>
        </w:tc>
        <w:tc>
          <w:tcPr>
            <w:tcW w:w="5954" w:type="dxa"/>
          </w:tcPr>
          <w:p w:rsidR="005166EB" w:rsidRPr="005166EB" w:rsidRDefault="005166EB" w:rsidP="001A05A8">
            <w:pPr>
              <w:contextualSpacing/>
              <w:rPr>
                <w:rFonts w:ascii="Arial Narrow" w:hAnsi="Arial Narrow" w:cs="Arial"/>
                <w:sz w:val="16"/>
                <w:szCs w:val="16"/>
                <w:lang w:val="es-BO"/>
              </w:rPr>
            </w:pPr>
            <w:r w:rsidRPr="005166EB">
              <w:rPr>
                <w:rFonts w:ascii="Arial Narrow" w:hAnsi="Arial Narrow" w:cs="Arial"/>
                <w:sz w:val="16"/>
                <w:szCs w:val="16"/>
                <w:lang w:val="es-BO"/>
              </w:rPr>
              <w:t>Prevención de Riesgos y Desastres (climáticos, salud pública, socioculturales)</w:t>
            </w:r>
          </w:p>
        </w:tc>
      </w:tr>
      <w:tr w:rsidR="005166EB" w:rsidRPr="00B80977" w:rsidTr="005166EB">
        <w:trPr>
          <w:trHeight w:hRule="exact" w:val="424"/>
        </w:trPr>
        <w:tc>
          <w:tcPr>
            <w:tcW w:w="704" w:type="dxa"/>
            <w:vMerge w:val="restart"/>
            <w:shd w:val="clear" w:color="auto" w:fill="BFBFBF" w:themeFill="background1" w:themeFillShade="BF"/>
          </w:tcPr>
          <w:p w:rsidR="005166EB" w:rsidRPr="005166EB" w:rsidRDefault="005166EB" w:rsidP="001A05A8">
            <w:pPr>
              <w:jc w:val="center"/>
              <w:rPr>
                <w:rFonts w:ascii="Arial Narrow" w:hAnsi="Arial Narrow" w:cs="Arial"/>
                <w:b/>
                <w:sz w:val="4"/>
                <w:szCs w:val="4"/>
                <w:lang w:val="es-BO"/>
              </w:rPr>
            </w:pPr>
          </w:p>
          <w:p w:rsidR="005166EB" w:rsidRPr="00F73D73" w:rsidRDefault="005166EB" w:rsidP="001A05A8">
            <w:pPr>
              <w:jc w:val="center"/>
              <w:rPr>
                <w:rFonts w:ascii="Arial Narrow" w:hAnsi="Arial Narrow" w:cs="Arial"/>
                <w:b/>
                <w:sz w:val="18"/>
                <w:szCs w:val="18"/>
              </w:rPr>
            </w:pPr>
            <w:r w:rsidRPr="00F73D73">
              <w:rPr>
                <w:rFonts w:ascii="Arial Narrow" w:hAnsi="Arial Narrow" w:cs="Arial"/>
                <w:b/>
                <w:sz w:val="18"/>
                <w:szCs w:val="18"/>
              </w:rPr>
              <w:t>5</w:t>
            </w:r>
          </w:p>
          <w:p w:rsidR="005166EB" w:rsidRPr="00F73D73" w:rsidRDefault="005166EB" w:rsidP="001A05A8">
            <w:pPr>
              <w:jc w:val="center"/>
              <w:rPr>
                <w:rFonts w:ascii="Arial Narrow" w:hAnsi="Arial Narrow" w:cs="Arial"/>
                <w:b/>
                <w:sz w:val="18"/>
                <w:szCs w:val="18"/>
              </w:rPr>
            </w:pPr>
          </w:p>
        </w:tc>
        <w:tc>
          <w:tcPr>
            <w:tcW w:w="2126" w:type="dxa"/>
            <w:vMerge w:val="restart"/>
            <w:shd w:val="clear" w:color="auto" w:fill="BFBFBF" w:themeFill="background1" w:themeFillShade="BF"/>
          </w:tcPr>
          <w:p w:rsidR="005166EB" w:rsidRPr="005166EB" w:rsidRDefault="005166EB" w:rsidP="001A05A8">
            <w:pPr>
              <w:rPr>
                <w:rFonts w:ascii="Arial Narrow" w:hAnsi="Arial Narrow" w:cs="Arial"/>
                <w:b/>
                <w:sz w:val="16"/>
                <w:szCs w:val="16"/>
                <w:lang w:val="es-BO"/>
              </w:rPr>
            </w:pPr>
            <w:r w:rsidRPr="005166EB">
              <w:rPr>
                <w:rFonts w:ascii="Arial Narrow" w:hAnsi="Arial Narrow" w:cs="Arial"/>
                <w:b/>
                <w:sz w:val="16"/>
                <w:szCs w:val="16"/>
                <w:lang w:val="es-BO"/>
              </w:rPr>
              <w:t>GESTIÓN INTEGRAL DE RECURSOS HÍDRICOS</w:t>
            </w: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Captación, control de calidad, tratamiento, almacenamiento, distribución del agua y saneamiento Básico.</w:t>
            </w:r>
          </w:p>
        </w:tc>
      </w:tr>
      <w:tr w:rsidR="005166EB" w:rsidRPr="00B80977" w:rsidTr="005166EB">
        <w:trPr>
          <w:trHeight w:hRule="exact" w:val="284"/>
        </w:trPr>
        <w:tc>
          <w:tcPr>
            <w:tcW w:w="704" w:type="dxa"/>
            <w:vMerge/>
            <w:shd w:val="clear" w:color="auto" w:fill="BFBFBF" w:themeFill="background1" w:themeFillShade="BF"/>
          </w:tcPr>
          <w:p w:rsidR="005166EB" w:rsidRPr="005166EB" w:rsidRDefault="005166EB" w:rsidP="001A05A8">
            <w:pPr>
              <w:jc w:val="center"/>
              <w:rPr>
                <w:rFonts w:ascii="Arial Narrow" w:hAnsi="Arial Narrow" w:cs="Arial"/>
                <w:b/>
                <w:sz w:val="18"/>
                <w:szCs w:val="18"/>
                <w:lang w:val="es-BO"/>
              </w:rPr>
            </w:pPr>
          </w:p>
        </w:tc>
        <w:tc>
          <w:tcPr>
            <w:tcW w:w="2126" w:type="dxa"/>
            <w:vMerge/>
            <w:shd w:val="clear" w:color="auto" w:fill="BFBFBF" w:themeFill="background1" w:themeFillShade="BF"/>
          </w:tcPr>
          <w:p w:rsidR="005166EB" w:rsidRPr="005166EB" w:rsidRDefault="005166EB" w:rsidP="001A05A8">
            <w:pPr>
              <w:rPr>
                <w:rFonts w:ascii="Arial Narrow" w:hAnsi="Arial Narrow" w:cs="Arial"/>
                <w:b/>
                <w:sz w:val="16"/>
                <w:szCs w:val="16"/>
                <w:lang w:val="es-BO"/>
              </w:rPr>
            </w:pP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Manejo integral y aprovechamiento sustentable de recursos hídricos y agroclimatología</w:t>
            </w:r>
          </w:p>
        </w:tc>
      </w:tr>
      <w:tr w:rsidR="005166EB" w:rsidRPr="00B80977" w:rsidTr="005166EB">
        <w:trPr>
          <w:trHeight w:hRule="exact" w:val="284"/>
        </w:trPr>
        <w:tc>
          <w:tcPr>
            <w:tcW w:w="704" w:type="dxa"/>
            <w:vMerge w:val="restart"/>
          </w:tcPr>
          <w:p w:rsidR="005166EB" w:rsidRPr="005166EB" w:rsidRDefault="005166EB" w:rsidP="001A05A8">
            <w:pPr>
              <w:pStyle w:val="NormalWeb"/>
              <w:spacing w:before="0" w:beforeAutospacing="0" w:after="0" w:afterAutospacing="0"/>
              <w:jc w:val="center"/>
              <w:rPr>
                <w:rFonts w:ascii="Arial Narrow" w:hAnsi="Arial Narrow" w:cs="Arial"/>
                <w:b/>
                <w:sz w:val="18"/>
                <w:szCs w:val="18"/>
                <w:lang w:val="es-BO"/>
              </w:rPr>
            </w:pPr>
          </w:p>
          <w:p w:rsidR="005166EB" w:rsidRPr="005166EB" w:rsidRDefault="005166EB" w:rsidP="001A05A8">
            <w:pPr>
              <w:pStyle w:val="NormalWeb"/>
              <w:spacing w:before="0" w:beforeAutospacing="0" w:after="0" w:afterAutospacing="0"/>
              <w:jc w:val="center"/>
              <w:rPr>
                <w:rFonts w:ascii="Arial Narrow" w:hAnsi="Arial Narrow" w:cs="Arial"/>
                <w:b/>
                <w:sz w:val="18"/>
                <w:szCs w:val="18"/>
                <w:lang w:val="es-BO"/>
              </w:rPr>
            </w:pPr>
          </w:p>
          <w:p w:rsidR="005166EB" w:rsidRPr="00F73D73" w:rsidRDefault="005166EB" w:rsidP="001A05A8">
            <w:pPr>
              <w:pStyle w:val="NormalWeb"/>
              <w:spacing w:before="0" w:beforeAutospacing="0" w:after="0" w:afterAutospacing="0"/>
              <w:jc w:val="center"/>
              <w:rPr>
                <w:rFonts w:ascii="Arial Narrow" w:hAnsi="Arial Narrow" w:cs="Arial"/>
                <w:b/>
                <w:sz w:val="18"/>
                <w:szCs w:val="18"/>
              </w:rPr>
            </w:pPr>
            <w:r w:rsidRPr="00F73D73">
              <w:rPr>
                <w:rFonts w:ascii="Arial Narrow" w:hAnsi="Arial Narrow" w:cs="Arial"/>
                <w:b/>
                <w:sz w:val="18"/>
                <w:szCs w:val="18"/>
              </w:rPr>
              <w:t>6</w:t>
            </w:r>
          </w:p>
          <w:p w:rsidR="005166EB" w:rsidRPr="00F73D73" w:rsidRDefault="005166EB" w:rsidP="001A05A8">
            <w:pPr>
              <w:pStyle w:val="NormalWeb"/>
              <w:spacing w:before="0" w:beforeAutospacing="0" w:after="0" w:afterAutospacing="0"/>
              <w:jc w:val="center"/>
              <w:rPr>
                <w:rFonts w:ascii="Arial Narrow" w:hAnsi="Arial Narrow" w:cs="Arial"/>
                <w:b/>
                <w:sz w:val="18"/>
                <w:szCs w:val="18"/>
              </w:rPr>
            </w:pPr>
          </w:p>
        </w:tc>
        <w:tc>
          <w:tcPr>
            <w:tcW w:w="2126" w:type="dxa"/>
            <w:vMerge w:val="restart"/>
          </w:tcPr>
          <w:p w:rsidR="005166EB" w:rsidRDefault="005166EB" w:rsidP="001A05A8">
            <w:pPr>
              <w:pStyle w:val="NormalWeb"/>
              <w:spacing w:before="0" w:beforeAutospacing="0" w:after="0" w:afterAutospacing="0"/>
              <w:rPr>
                <w:rFonts w:ascii="Arial Narrow" w:hAnsi="Arial Narrow" w:cs="Arial"/>
                <w:b/>
                <w:sz w:val="16"/>
                <w:szCs w:val="16"/>
              </w:rPr>
            </w:pPr>
          </w:p>
          <w:p w:rsidR="005166EB" w:rsidRDefault="005166EB" w:rsidP="001A05A8">
            <w:pPr>
              <w:pStyle w:val="NormalWeb"/>
              <w:spacing w:before="0" w:beforeAutospacing="0" w:after="0" w:afterAutospacing="0"/>
              <w:rPr>
                <w:rFonts w:ascii="Arial Narrow" w:hAnsi="Arial Narrow" w:cs="Arial"/>
                <w:b/>
                <w:sz w:val="16"/>
                <w:szCs w:val="16"/>
              </w:rPr>
            </w:pPr>
          </w:p>
          <w:p w:rsidR="005166EB" w:rsidRPr="00B63C3A" w:rsidRDefault="005166EB" w:rsidP="001A05A8">
            <w:pPr>
              <w:pStyle w:val="NormalWeb"/>
              <w:spacing w:before="0" w:beforeAutospacing="0" w:after="0" w:afterAutospacing="0"/>
              <w:rPr>
                <w:rFonts w:ascii="Arial Narrow" w:eastAsia="+mn-ea" w:hAnsi="Arial Narrow" w:cs="+mn-cs"/>
                <w:b/>
                <w:kern w:val="24"/>
                <w:sz w:val="16"/>
                <w:szCs w:val="16"/>
                <w:lang w:val="es-ES_tradnl"/>
              </w:rPr>
            </w:pPr>
            <w:r w:rsidRPr="00B63C3A">
              <w:rPr>
                <w:rFonts w:ascii="Arial Narrow" w:hAnsi="Arial Narrow" w:cs="Arial"/>
                <w:b/>
                <w:sz w:val="16"/>
                <w:szCs w:val="16"/>
              </w:rPr>
              <w:t>MINERIA, ENERGIA E HIDROCARBUROS</w:t>
            </w:r>
          </w:p>
        </w:tc>
        <w:tc>
          <w:tcPr>
            <w:tcW w:w="5954" w:type="dxa"/>
          </w:tcPr>
          <w:p w:rsidR="005166EB" w:rsidRPr="005166EB" w:rsidRDefault="005166EB" w:rsidP="001A05A8">
            <w:pPr>
              <w:pStyle w:val="NormalWeb"/>
              <w:spacing w:before="0" w:beforeAutospacing="0" w:after="0" w:afterAutospacing="0"/>
              <w:rPr>
                <w:rFonts w:ascii="Arial Narrow" w:hAnsi="Arial Narrow" w:cs="Arial"/>
                <w:sz w:val="16"/>
                <w:szCs w:val="16"/>
                <w:lang w:val="es-BO"/>
              </w:rPr>
            </w:pPr>
            <w:r w:rsidRPr="00B63C3A">
              <w:rPr>
                <w:rFonts w:ascii="Arial Narrow" w:eastAsia="+mn-ea" w:hAnsi="Arial Narrow" w:cs="+mn-cs"/>
                <w:kern w:val="24"/>
                <w:sz w:val="16"/>
                <w:szCs w:val="16"/>
                <w:lang w:val="es-ES_tradnl"/>
              </w:rPr>
              <w:t>Producción, distribución y uso racional de la energía convencional</w:t>
            </w:r>
          </w:p>
        </w:tc>
      </w:tr>
      <w:tr w:rsidR="005166EB" w:rsidRPr="00B80977" w:rsidTr="005166EB">
        <w:trPr>
          <w:trHeight w:hRule="exact" w:val="284"/>
        </w:trPr>
        <w:tc>
          <w:tcPr>
            <w:tcW w:w="704" w:type="dxa"/>
            <w:vMerge/>
          </w:tcPr>
          <w:p w:rsidR="005166EB" w:rsidRPr="00F73D73" w:rsidRDefault="005166EB" w:rsidP="001A05A8">
            <w:pPr>
              <w:jc w:val="center"/>
              <w:rPr>
                <w:rFonts w:ascii="Arial Narrow" w:eastAsia="+mn-ea" w:hAnsi="Arial Narrow" w:cs="+mn-cs"/>
                <w:b/>
                <w:kern w:val="24"/>
                <w:sz w:val="18"/>
                <w:szCs w:val="18"/>
                <w:lang w:val="es-ES_tradnl"/>
              </w:rPr>
            </w:pPr>
          </w:p>
        </w:tc>
        <w:tc>
          <w:tcPr>
            <w:tcW w:w="2126" w:type="dxa"/>
            <w:vMerge/>
          </w:tcPr>
          <w:p w:rsidR="005166EB" w:rsidRPr="00B63C3A" w:rsidRDefault="005166EB" w:rsidP="001A05A8">
            <w:pPr>
              <w:rPr>
                <w:rFonts w:ascii="Arial Narrow" w:eastAsia="+mn-ea" w:hAnsi="Arial Narrow" w:cs="+mn-cs"/>
                <w:b/>
                <w:kern w:val="24"/>
                <w:sz w:val="16"/>
                <w:szCs w:val="16"/>
                <w:lang w:val="es-ES_tradnl"/>
              </w:rPr>
            </w:pPr>
          </w:p>
        </w:tc>
        <w:tc>
          <w:tcPr>
            <w:tcW w:w="5954" w:type="dxa"/>
          </w:tcPr>
          <w:p w:rsidR="005166EB" w:rsidRPr="005166EB" w:rsidRDefault="005166EB" w:rsidP="001A05A8">
            <w:pPr>
              <w:rPr>
                <w:rFonts w:ascii="Arial Narrow" w:hAnsi="Arial Narrow" w:cs="Arial"/>
                <w:sz w:val="16"/>
                <w:szCs w:val="16"/>
                <w:lang w:val="es-BO"/>
              </w:rPr>
            </w:pPr>
            <w:r w:rsidRPr="00B63C3A">
              <w:rPr>
                <w:rFonts w:ascii="Arial Narrow" w:eastAsia="+mn-ea" w:hAnsi="Arial Narrow" w:cs="+mn-cs"/>
                <w:kern w:val="24"/>
                <w:sz w:val="16"/>
                <w:szCs w:val="16"/>
                <w:lang w:val="es-ES_tradnl"/>
              </w:rPr>
              <w:t>Producción, distribución y uso racional de la energía no convencional  o renovable</w:t>
            </w:r>
          </w:p>
        </w:tc>
      </w:tr>
      <w:tr w:rsidR="005166EB" w:rsidRPr="00B80977" w:rsidTr="005166EB">
        <w:trPr>
          <w:trHeight w:hRule="exact" w:val="284"/>
        </w:trPr>
        <w:tc>
          <w:tcPr>
            <w:tcW w:w="704" w:type="dxa"/>
            <w:vMerge/>
          </w:tcPr>
          <w:p w:rsidR="005166EB" w:rsidRPr="005166EB" w:rsidRDefault="005166EB" w:rsidP="001A05A8">
            <w:pPr>
              <w:jc w:val="center"/>
              <w:rPr>
                <w:rFonts w:ascii="Arial Narrow" w:hAnsi="Arial Narrow" w:cs="Arial"/>
                <w:b/>
                <w:sz w:val="18"/>
                <w:szCs w:val="18"/>
                <w:lang w:val="es-BO"/>
              </w:rPr>
            </w:pPr>
          </w:p>
        </w:tc>
        <w:tc>
          <w:tcPr>
            <w:tcW w:w="2126" w:type="dxa"/>
            <w:vMerge/>
          </w:tcPr>
          <w:p w:rsidR="005166EB" w:rsidRPr="005166EB" w:rsidRDefault="005166EB" w:rsidP="001A05A8">
            <w:pPr>
              <w:jc w:val="center"/>
              <w:rPr>
                <w:rFonts w:ascii="Arial Narrow" w:hAnsi="Arial Narrow" w:cs="Arial"/>
                <w:b/>
                <w:sz w:val="16"/>
                <w:szCs w:val="16"/>
                <w:lang w:val="es-BO"/>
              </w:rPr>
            </w:pPr>
          </w:p>
        </w:tc>
        <w:tc>
          <w:tcPr>
            <w:tcW w:w="5954" w:type="dxa"/>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Planificación, gestión e industrialización de hidrocarburos</w:t>
            </w:r>
          </w:p>
        </w:tc>
      </w:tr>
      <w:tr w:rsidR="005166EB" w:rsidRPr="00B80977" w:rsidTr="005166EB">
        <w:trPr>
          <w:trHeight w:hRule="exact" w:val="284"/>
        </w:trPr>
        <w:tc>
          <w:tcPr>
            <w:tcW w:w="704" w:type="dxa"/>
            <w:vMerge/>
          </w:tcPr>
          <w:p w:rsidR="005166EB" w:rsidRPr="005166EB" w:rsidRDefault="005166EB" w:rsidP="001A05A8">
            <w:pPr>
              <w:jc w:val="center"/>
              <w:rPr>
                <w:rFonts w:ascii="Arial Narrow" w:hAnsi="Arial Narrow" w:cs="Arial"/>
                <w:b/>
                <w:sz w:val="18"/>
                <w:szCs w:val="18"/>
                <w:lang w:val="es-BO"/>
              </w:rPr>
            </w:pPr>
          </w:p>
        </w:tc>
        <w:tc>
          <w:tcPr>
            <w:tcW w:w="2126" w:type="dxa"/>
            <w:vMerge/>
          </w:tcPr>
          <w:p w:rsidR="005166EB" w:rsidRPr="005166EB" w:rsidRDefault="005166EB" w:rsidP="001A05A8">
            <w:pPr>
              <w:rPr>
                <w:rFonts w:ascii="Arial Narrow" w:hAnsi="Arial Narrow" w:cs="Arial"/>
                <w:b/>
                <w:sz w:val="16"/>
                <w:szCs w:val="16"/>
                <w:lang w:val="es-BO"/>
              </w:rPr>
            </w:pPr>
          </w:p>
        </w:tc>
        <w:tc>
          <w:tcPr>
            <w:tcW w:w="5954" w:type="dxa"/>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Prospección, producción, aprovechamiento e industrialización de recursos minerales</w:t>
            </w:r>
          </w:p>
        </w:tc>
      </w:tr>
      <w:tr w:rsidR="005166EB" w:rsidRPr="00B80977" w:rsidTr="005166EB">
        <w:trPr>
          <w:trHeight w:hRule="exact" w:val="422"/>
        </w:trPr>
        <w:tc>
          <w:tcPr>
            <w:tcW w:w="704" w:type="dxa"/>
            <w:vMerge w:val="restart"/>
            <w:shd w:val="clear" w:color="auto" w:fill="BFBFBF" w:themeFill="background1" w:themeFillShade="BF"/>
          </w:tcPr>
          <w:p w:rsidR="005166EB" w:rsidRPr="00F73D73" w:rsidRDefault="005166EB" w:rsidP="001A05A8">
            <w:pPr>
              <w:jc w:val="center"/>
              <w:rPr>
                <w:rFonts w:ascii="Arial Narrow" w:hAnsi="Arial Narrow" w:cs="Arial"/>
                <w:b/>
                <w:sz w:val="18"/>
                <w:szCs w:val="18"/>
                <w:lang w:val="es-ES_tradnl"/>
              </w:rPr>
            </w:pPr>
          </w:p>
          <w:p w:rsidR="005166EB" w:rsidRDefault="005166EB" w:rsidP="001A05A8">
            <w:pPr>
              <w:jc w:val="center"/>
              <w:rPr>
                <w:rFonts w:ascii="Arial Narrow" w:hAnsi="Arial Narrow" w:cs="Arial"/>
                <w:b/>
                <w:sz w:val="18"/>
                <w:szCs w:val="18"/>
                <w:lang w:val="es-ES_tradnl"/>
              </w:rPr>
            </w:pPr>
          </w:p>
          <w:p w:rsidR="005166EB" w:rsidRPr="00F73D73" w:rsidRDefault="005166EB" w:rsidP="005166EB">
            <w:pPr>
              <w:rPr>
                <w:rFonts w:ascii="Arial Narrow" w:hAnsi="Arial Narrow" w:cs="Arial"/>
                <w:b/>
                <w:sz w:val="18"/>
                <w:szCs w:val="18"/>
                <w:lang w:val="es-ES_tradnl"/>
              </w:rPr>
            </w:pPr>
          </w:p>
          <w:p w:rsidR="005166EB" w:rsidRPr="00F73D73" w:rsidRDefault="005166EB" w:rsidP="001A05A8">
            <w:pPr>
              <w:jc w:val="center"/>
              <w:rPr>
                <w:rFonts w:ascii="Arial Narrow" w:hAnsi="Arial Narrow" w:cs="Arial"/>
                <w:b/>
                <w:sz w:val="18"/>
                <w:szCs w:val="18"/>
                <w:lang w:val="es-ES_tradnl"/>
              </w:rPr>
            </w:pPr>
            <w:r w:rsidRPr="00F73D73">
              <w:rPr>
                <w:rFonts w:ascii="Arial Narrow" w:hAnsi="Arial Narrow" w:cs="Arial"/>
                <w:b/>
                <w:sz w:val="18"/>
                <w:szCs w:val="18"/>
                <w:lang w:val="es-ES_tradnl"/>
              </w:rPr>
              <w:t>7</w:t>
            </w:r>
          </w:p>
        </w:tc>
        <w:tc>
          <w:tcPr>
            <w:tcW w:w="2126" w:type="dxa"/>
            <w:vMerge w:val="restart"/>
            <w:shd w:val="clear" w:color="auto" w:fill="BFBFBF" w:themeFill="background1" w:themeFillShade="BF"/>
          </w:tcPr>
          <w:p w:rsidR="005166EB" w:rsidRDefault="005166EB" w:rsidP="001A05A8">
            <w:pPr>
              <w:rPr>
                <w:rFonts w:ascii="Arial Narrow" w:hAnsi="Arial Narrow" w:cs="Arial"/>
                <w:b/>
                <w:sz w:val="16"/>
                <w:szCs w:val="16"/>
                <w:lang w:val="es-ES_tradnl"/>
              </w:rPr>
            </w:pPr>
          </w:p>
          <w:p w:rsidR="005166EB" w:rsidRDefault="005166EB" w:rsidP="001A05A8">
            <w:pPr>
              <w:rPr>
                <w:rFonts w:ascii="Arial Narrow" w:hAnsi="Arial Narrow" w:cs="Arial"/>
                <w:b/>
                <w:sz w:val="16"/>
                <w:szCs w:val="16"/>
                <w:lang w:val="es-ES_tradnl"/>
              </w:rPr>
            </w:pPr>
          </w:p>
          <w:p w:rsidR="005166EB" w:rsidRDefault="005166EB" w:rsidP="001A05A8">
            <w:pPr>
              <w:rPr>
                <w:rFonts w:ascii="Arial Narrow" w:hAnsi="Arial Narrow" w:cs="Arial"/>
                <w:b/>
                <w:sz w:val="16"/>
                <w:szCs w:val="16"/>
                <w:lang w:val="es-ES_tradnl"/>
              </w:rPr>
            </w:pPr>
          </w:p>
          <w:p w:rsidR="005166EB" w:rsidRPr="005166EB" w:rsidRDefault="005166EB" w:rsidP="001A05A8">
            <w:pPr>
              <w:rPr>
                <w:rFonts w:ascii="Arial Narrow" w:hAnsi="Arial Narrow" w:cs="Arial"/>
                <w:b/>
                <w:sz w:val="16"/>
                <w:szCs w:val="16"/>
                <w:lang w:val="es-BO"/>
              </w:rPr>
            </w:pPr>
            <w:r w:rsidRPr="00B63C3A">
              <w:rPr>
                <w:rFonts w:ascii="Arial Narrow" w:hAnsi="Arial Narrow" w:cs="Arial"/>
                <w:b/>
                <w:sz w:val="16"/>
                <w:szCs w:val="16"/>
                <w:lang w:val="es-ES_tradnl"/>
              </w:rPr>
              <w:t>ECONOMÍA, DESARROLLO SOCIAL,  DERECHO,  ESTADO Y SOCIEDAD</w:t>
            </w: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 xml:space="preserve">Patrimonio histórico y cultural,  estudios de identidad socioculturales, antropología, promoción cultural y turismo </w:t>
            </w:r>
          </w:p>
        </w:tc>
      </w:tr>
      <w:tr w:rsidR="005166EB" w:rsidRPr="00B80977" w:rsidTr="005166EB">
        <w:trPr>
          <w:trHeight w:hRule="exact" w:val="428"/>
        </w:trPr>
        <w:tc>
          <w:tcPr>
            <w:tcW w:w="704" w:type="dxa"/>
            <w:vMerge/>
            <w:shd w:val="clear" w:color="auto" w:fill="BFBFBF" w:themeFill="background1" w:themeFillShade="BF"/>
          </w:tcPr>
          <w:p w:rsidR="005166EB" w:rsidRPr="005166EB" w:rsidRDefault="005166EB" w:rsidP="001A05A8">
            <w:pPr>
              <w:jc w:val="center"/>
              <w:rPr>
                <w:rFonts w:ascii="Arial Narrow" w:hAnsi="Arial Narrow" w:cs="Arial"/>
                <w:b/>
                <w:sz w:val="18"/>
                <w:szCs w:val="18"/>
                <w:lang w:val="es-BO"/>
              </w:rPr>
            </w:pPr>
          </w:p>
        </w:tc>
        <w:tc>
          <w:tcPr>
            <w:tcW w:w="2126" w:type="dxa"/>
            <w:vMerge/>
            <w:shd w:val="clear" w:color="auto" w:fill="BFBFBF" w:themeFill="background1" w:themeFillShade="BF"/>
          </w:tcPr>
          <w:p w:rsidR="005166EB" w:rsidRPr="005166EB" w:rsidRDefault="005166EB" w:rsidP="001A05A8">
            <w:pPr>
              <w:rPr>
                <w:rFonts w:ascii="Arial Narrow" w:hAnsi="Arial Narrow" w:cs="Arial"/>
                <w:b/>
                <w:sz w:val="16"/>
                <w:szCs w:val="16"/>
                <w:lang w:val="es-BO"/>
              </w:rPr>
            </w:pP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 xml:space="preserve">Economía, regional y empresarial, equidad y desarrollo económico sostenible, admiración pública y privada, </w:t>
            </w:r>
          </w:p>
        </w:tc>
      </w:tr>
      <w:tr w:rsidR="005166EB" w:rsidRPr="00B80977" w:rsidTr="005166EB">
        <w:trPr>
          <w:trHeight w:hRule="exact" w:val="419"/>
        </w:trPr>
        <w:tc>
          <w:tcPr>
            <w:tcW w:w="704" w:type="dxa"/>
            <w:vMerge/>
            <w:shd w:val="clear" w:color="auto" w:fill="BFBFBF" w:themeFill="background1" w:themeFillShade="BF"/>
          </w:tcPr>
          <w:p w:rsidR="005166EB" w:rsidRPr="005166EB" w:rsidRDefault="005166EB" w:rsidP="001A05A8">
            <w:pPr>
              <w:jc w:val="center"/>
              <w:rPr>
                <w:rFonts w:ascii="Arial Narrow" w:hAnsi="Arial Narrow" w:cs="Arial"/>
                <w:b/>
                <w:sz w:val="18"/>
                <w:szCs w:val="18"/>
                <w:lang w:val="es-BO"/>
              </w:rPr>
            </w:pPr>
          </w:p>
        </w:tc>
        <w:tc>
          <w:tcPr>
            <w:tcW w:w="2126" w:type="dxa"/>
            <w:vMerge/>
            <w:shd w:val="clear" w:color="auto" w:fill="BFBFBF" w:themeFill="background1" w:themeFillShade="BF"/>
          </w:tcPr>
          <w:p w:rsidR="005166EB" w:rsidRPr="005166EB" w:rsidRDefault="005166EB" w:rsidP="001A05A8">
            <w:pPr>
              <w:rPr>
                <w:rFonts w:ascii="Arial Narrow" w:hAnsi="Arial Narrow" w:cs="Arial"/>
                <w:b/>
                <w:sz w:val="16"/>
                <w:szCs w:val="16"/>
                <w:lang w:val="es-BO"/>
              </w:rPr>
            </w:pP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 xml:space="preserve">Derecho, Estado y Sociedad: </w:t>
            </w:r>
            <w:r w:rsidRPr="005166EB">
              <w:rPr>
                <w:rFonts w:ascii="Arial Narrow" w:hAnsi="Arial Narrow"/>
                <w:sz w:val="16"/>
                <w:szCs w:val="16"/>
                <w:lang w:val="es-BO"/>
              </w:rPr>
              <w:t xml:space="preserve"> </w:t>
            </w:r>
            <w:r w:rsidRPr="005166EB">
              <w:rPr>
                <w:rFonts w:ascii="Arial Narrow" w:hAnsi="Arial Narrow" w:cs="Arial"/>
                <w:sz w:val="16"/>
                <w:szCs w:val="16"/>
                <w:lang w:val="es-BO"/>
              </w:rPr>
              <w:t xml:space="preserve">políticas públicas, , administración de Justicia, derechos humanos e ilícitos   </w:t>
            </w:r>
          </w:p>
        </w:tc>
      </w:tr>
      <w:tr w:rsidR="005166EB" w:rsidRPr="00B80977" w:rsidTr="005166EB">
        <w:trPr>
          <w:trHeight w:hRule="exact" w:val="412"/>
        </w:trPr>
        <w:tc>
          <w:tcPr>
            <w:tcW w:w="704" w:type="dxa"/>
            <w:vMerge/>
            <w:shd w:val="clear" w:color="auto" w:fill="BFBFBF" w:themeFill="background1" w:themeFillShade="BF"/>
          </w:tcPr>
          <w:p w:rsidR="005166EB" w:rsidRPr="005166EB" w:rsidRDefault="005166EB" w:rsidP="001A05A8">
            <w:pPr>
              <w:jc w:val="center"/>
              <w:rPr>
                <w:rFonts w:ascii="Arial Narrow" w:hAnsi="Arial Narrow" w:cs="Arial"/>
                <w:b/>
                <w:sz w:val="18"/>
                <w:szCs w:val="18"/>
                <w:lang w:val="es-BO"/>
              </w:rPr>
            </w:pPr>
          </w:p>
        </w:tc>
        <w:tc>
          <w:tcPr>
            <w:tcW w:w="2126" w:type="dxa"/>
            <w:vMerge/>
            <w:shd w:val="clear" w:color="auto" w:fill="BFBFBF" w:themeFill="background1" w:themeFillShade="BF"/>
          </w:tcPr>
          <w:p w:rsidR="005166EB" w:rsidRPr="005166EB" w:rsidRDefault="005166EB" w:rsidP="001A05A8">
            <w:pPr>
              <w:rPr>
                <w:rFonts w:ascii="Arial Narrow" w:hAnsi="Arial Narrow" w:cs="Arial"/>
                <w:b/>
                <w:sz w:val="16"/>
                <w:szCs w:val="16"/>
                <w:lang w:val="es-BO"/>
              </w:rPr>
            </w:pP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 xml:space="preserve">Hábitat,  planificación urbana, población,  migraciones y asentamientos humanos,  </w:t>
            </w:r>
            <w:r w:rsidRPr="005166EB">
              <w:rPr>
                <w:rFonts w:ascii="Arial Narrow" w:hAnsi="Arial Narrow" w:cs="Arial"/>
                <w:bCs/>
                <w:sz w:val="16"/>
                <w:szCs w:val="16"/>
                <w:lang w:val="es-BO"/>
              </w:rPr>
              <w:t>servicios básicos</w:t>
            </w:r>
          </w:p>
        </w:tc>
      </w:tr>
      <w:tr w:rsidR="005166EB" w:rsidRPr="00B80977" w:rsidTr="005166EB">
        <w:trPr>
          <w:trHeight w:hRule="exact" w:val="432"/>
        </w:trPr>
        <w:tc>
          <w:tcPr>
            <w:tcW w:w="704" w:type="dxa"/>
            <w:vMerge/>
            <w:shd w:val="clear" w:color="auto" w:fill="BFBFBF" w:themeFill="background1" w:themeFillShade="BF"/>
          </w:tcPr>
          <w:p w:rsidR="005166EB" w:rsidRPr="005166EB" w:rsidRDefault="005166EB" w:rsidP="001A05A8">
            <w:pPr>
              <w:jc w:val="center"/>
              <w:rPr>
                <w:rFonts w:ascii="Arial Narrow" w:hAnsi="Arial Narrow" w:cs="Arial"/>
                <w:b/>
                <w:sz w:val="18"/>
                <w:szCs w:val="18"/>
                <w:lang w:val="es-BO"/>
              </w:rPr>
            </w:pPr>
          </w:p>
        </w:tc>
        <w:tc>
          <w:tcPr>
            <w:tcW w:w="2126" w:type="dxa"/>
            <w:vMerge/>
            <w:shd w:val="clear" w:color="auto" w:fill="BFBFBF" w:themeFill="background1" w:themeFillShade="BF"/>
          </w:tcPr>
          <w:p w:rsidR="005166EB" w:rsidRPr="005166EB" w:rsidRDefault="005166EB" w:rsidP="001A05A8">
            <w:pPr>
              <w:rPr>
                <w:rFonts w:ascii="Arial Narrow" w:hAnsi="Arial Narrow" w:cs="Arial"/>
                <w:b/>
                <w:sz w:val="16"/>
                <w:szCs w:val="16"/>
                <w:lang w:val="es-BO"/>
              </w:rPr>
            </w:pP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Educación: Pensamiento pedagógico, Diseño y desarrollo de métodos de evaluación de procesos de enseñanza y aprendizaje, Educación en contextos socio comunitario</w:t>
            </w:r>
          </w:p>
        </w:tc>
      </w:tr>
      <w:tr w:rsidR="005166EB" w:rsidRPr="00B63C3A" w:rsidTr="005166EB">
        <w:trPr>
          <w:trHeight w:hRule="exact" w:val="284"/>
        </w:trPr>
        <w:tc>
          <w:tcPr>
            <w:tcW w:w="704" w:type="dxa"/>
            <w:vMerge/>
            <w:shd w:val="clear" w:color="auto" w:fill="BFBFBF" w:themeFill="background1" w:themeFillShade="BF"/>
          </w:tcPr>
          <w:p w:rsidR="005166EB" w:rsidRPr="005166EB" w:rsidRDefault="005166EB" w:rsidP="001A05A8">
            <w:pPr>
              <w:jc w:val="center"/>
              <w:rPr>
                <w:rFonts w:ascii="Arial Narrow" w:hAnsi="Arial Narrow" w:cs="Arial"/>
                <w:b/>
                <w:sz w:val="18"/>
                <w:szCs w:val="18"/>
                <w:lang w:val="es-BO"/>
              </w:rPr>
            </w:pPr>
          </w:p>
        </w:tc>
        <w:tc>
          <w:tcPr>
            <w:tcW w:w="2126" w:type="dxa"/>
            <w:vMerge/>
            <w:shd w:val="clear" w:color="auto" w:fill="BFBFBF" w:themeFill="background1" w:themeFillShade="BF"/>
          </w:tcPr>
          <w:p w:rsidR="005166EB" w:rsidRPr="005166EB" w:rsidRDefault="005166EB" w:rsidP="001A05A8">
            <w:pPr>
              <w:rPr>
                <w:rFonts w:ascii="Arial Narrow" w:hAnsi="Arial Narrow" w:cs="Arial"/>
                <w:b/>
                <w:sz w:val="16"/>
                <w:szCs w:val="16"/>
                <w:lang w:val="es-BO"/>
              </w:rPr>
            </w:pPr>
          </w:p>
        </w:tc>
        <w:tc>
          <w:tcPr>
            <w:tcW w:w="5954" w:type="dxa"/>
            <w:shd w:val="clear" w:color="auto" w:fill="BFBFBF" w:themeFill="background1" w:themeFillShade="BF"/>
          </w:tcPr>
          <w:p w:rsidR="005166EB" w:rsidRPr="00B63C3A" w:rsidRDefault="005166EB" w:rsidP="001A05A8">
            <w:pPr>
              <w:rPr>
                <w:rFonts w:ascii="Arial Narrow" w:hAnsi="Arial Narrow" w:cs="Arial"/>
                <w:sz w:val="16"/>
                <w:szCs w:val="16"/>
              </w:rPr>
            </w:pPr>
            <w:r w:rsidRPr="00B63C3A">
              <w:rPr>
                <w:rFonts w:ascii="Arial Narrow" w:hAnsi="Arial Narrow" w:cs="Arial"/>
                <w:sz w:val="16"/>
                <w:szCs w:val="16"/>
              </w:rPr>
              <w:t xml:space="preserve">Seguridad, protección y </w:t>
            </w:r>
            <w:r>
              <w:rPr>
                <w:rFonts w:ascii="Arial Narrow" w:hAnsi="Arial Narrow" w:cs="Arial"/>
                <w:sz w:val="16"/>
                <w:szCs w:val="16"/>
              </w:rPr>
              <w:t>defense</w:t>
            </w:r>
          </w:p>
        </w:tc>
      </w:tr>
      <w:tr w:rsidR="005166EB" w:rsidRPr="00B80977" w:rsidTr="005166EB">
        <w:trPr>
          <w:trHeight w:hRule="exact" w:val="284"/>
        </w:trPr>
        <w:tc>
          <w:tcPr>
            <w:tcW w:w="704" w:type="dxa"/>
            <w:vMerge w:val="restart"/>
          </w:tcPr>
          <w:p w:rsidR="005166EB" w:rsidRPr="00F73D73" w:rsidRDefault="005166EB" w:rsidP="001A05A8">
            <w:pPr>
              <w:jc w:val="center"/>
              <w:rPr>
                <w:rFonts w:ascii="Arial Narrow" w:hAnsi="Arial Narrow" w:cs="Arial"/>
                <w:b/>
                <w:sz w:val="18"/>
                <w:szCs w:val="18"/>
              </w:rPr>
            </w:pPr>
          </w:p>
          <w:p w:rsidR="005166EB" w:rsidRDefault="005166EB" w:rsidP="001A05A8">
            <w:pPr>
              <w:jc w:val="center"/>
              <w:rPr>
                <w:rFonts w:ascii="Arial Narrow" w:hAnsi="Arial Narrow" w:cs="Arial"/>
                <w:b/>
                <w:sz w:val="18"/>
                <w:szCs w:val="18"/>
              </w:rPr>
            </w:pPr>
          </w:p>
          <w:p w:rsidR="005166EB" w:rsidRPr="00F73D73" w:rsidRDefault="005166EB" w:rsidP="001A05A8">
            <w:pPr>
              <w:jc w:val="center"/>
              <w:rPr>
                <w:rFonts w:ascii="Arial Narrow" w:hAnsi="Arial Narrow" w:cs="Arial"/>
                <w:b/>
                <w:sz w:val="18"/>
                <w:szCs w:val="18"/>
              </w:rPr>
            </w:pPr>
          </w:p>
          <w:p w:rsidR="005166EB" w:rsidRPr="00F73D73" w:rsidRDefault="005166EB" w:rsidP="001A05A8">
            <w:pPr>
              <w:jc w:val="center"/>
              <w:rPr>
                <w:rFonts w:ascii="Arial Narrow" w:hAnsi="Arial Narrow" w:cs="Arial"/>
                <w:b/>
                <w:sz w:val="18"/>
                <w:szCs w:val="18"/>
              </w:rPr>
            </w:pPr>
            <w:r w:rsidRPr="00F73D73">
              <w:rPr>
                <w:rFonts w:ascii="Arial Narrow" w:hAnsi="Arial Narrow" w:cs="Arial"/>
                <w:b/>
                <w:sz w:val="18"/>
                <w:szCs w:val="18"/>
              </w:rPr>
              <w:t>8</w:t>
            </w:r>
          </w:p>
        </w:tc>
        <w:tc>
          <w:tcPr>
            <w:tcW w:w="2126" w:type="dxa"/>
            <w:vMerge w:val="restart"/>
          </w:tcPr>
          <w:p w:rsidR="005166EB" w:rsidRDefault="005166EB" w:rsidP="001A05A8">
            <w:pPr>
              <w:rPr>
                <w:rFonts w:ascii="Arial Narrow" w:hAnsi="Arial Narrow" w:cs="Arial"/>
                <w:b/>
                <w:sz w:val="16"/>
                <w:szCs w:val="16"/>
                <w:lang w:val="es-BO"/>
              </w:rPr>
            </w:pPr>
          </w:p>
          <w:p w:rsidR="005166EB" w:rsidRPr="005166EB" w:rsidRDefault="005166EB" w:rsidP="001A05A8">
            <w:pPr>
              <w:rPr>
                <w:rFonts w:ascii="Arial Narrow" w:hAnsi="Arial Narrow" w:cs="Arial"/>
                <w:b/>
                <w:sz w:val="16"/>
                <w:szCs w:val="16"/>
                <w:lang w:val="es-BO"/>
              </w:rPr>
            </w:pPr>
          </w:p>
          <w:p w:rsidR="005166EB" w:rsidRPr="005166EB" w:rsidRDefault="005166EB" w:rsidP="001A05A8">
            <w:pPr>
              <w:rPr>
                <w:rFonts w:ascii="Arial Narrow" w:hAnsi="Arial Narrow" w:cs="Arial"/>
                <w:b/>
                <w:sz w:val="16"/>
                <w:szCs w:val="16"/>
                <w:lang w:val="es-BO"/>
              </w:rPr>
            </w:pPr>
          </w:p>
          <w:p w:rsidR="005166EB" w:rsidRPr="005166EB" w:rsidRDefault="005166EB" w:rsidP="001A05A8">
            <w:pPr>
              <w:rPr>
                <w:rFonts w:ascii="Arial Narrow" w:hAnsi="Arial Narrow" w:cs="Arial"/>
                <w:b/>
                <w:sz w:val="16"/>
                <w:szCs w:val="16"/>
                <w:lang w:val="es-BO"/>
              </w:rPr>
            </w:pPr>
            <w:r w:rsidRPr="005166EB">
              <w:rPr>
                <w:rFonts w:ascii="Arial Narrow" w:hAnsi="Arial Narrow" w:cs="Arial"/>
                <w:b/>
                <w:sz w:val="16"/>
                <w:szCs w:val="16"/>
                <w:lang w:val="es-BO"/>
              </w:rPr>
              <w:t>GESTION DEL CONOCIMIENTO Y NUEVAS TECNOLOGIAS</w:t>
            </w:r>
          </w:p>
        </w:tc>
        <w:tc>
          <w:tcPr>
            <w:tcW w:w="5954" w:type="dxa"/>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Gestión de sistemas de información y comunicación</w:t>
            </w:r>
          </w:p>
        </w:tc>
      </w:tr>
      <w:tr w:rsidR="005166EB" w:rsidRPr="00B80977" w:rsidTr="005166EB">
        <w:trPr>
          <w:trHeight w:hRule="exact" w:val="432"/>
        </w:trPr>
        <w:tc>
          <w:tcPr>
            <w:tcW w:w="704" w:type="dxa"/>
            <w:vMerge/>
          </w:tcPr>
          <w:p w:rsidR="005166EB" w:rsidRPr="005166EB" w:rsidRDefault="005166EB" w:rsidP="001A05A8">
            <w:pPr>
              <w:contextualSpacing/>
              <w:jc w:val="center"/>
              <w:rPr>
                <w:rFonts w:ascii="Arial Narrow" w:hAnsi="Arial Narrow"/>
                <w:b/>
                <w:sz w:val="18"/>
                <w:szCs w:val="18"/>
                <w:lang w:val="es-BO"/>
              </w:rPr>
            </w:pPr>
          </w:p>
        </w:tc>
        <w:tc>
          <w:tcPr>
            <w:tcW w:w="2126" w:type="dxa"/>
            <w:vMerge/>
          </w:tcPr>
          <w:p w:rsidR="005166EB" w:rsidRPr="005166EB" w:rsidRDefault="005166EB" w:rsidP="001A05A8">
            <w:pPr>
              <w:contextualSpacing/>
              <w:rPr>
                <w:rFonts w:ascii="Arial Narrow" w:hAnsi="Arial Narrow"/>
                <w:b/>
                <w:sz w:val="16"/>
                <w:szCs w:val="16"/>
                <w:lang w:val="es-BO"/>
              </w:rPr>
            </w:pPr>
          </w:p>
        </w:tc>
        <w:tc>
          <w:tcPr>
            <w:tcW w:w="5954" w:type="dxa"/>
          </w:tcPr>
          <w:p w:rsidR="005166EB" w:rsidRPr="005166EB" w:rsidRDefault="005166EB" w:rsidP="001A05A8">
            <w:pPr>
              <w:contextualSpacing/>
              <w:rPr>
                <w:rFonts w:ascii="Arial Narrow" w:hAnsi="Arial Narrow" w:cs="Arial"/>
                <w:sz w:val="16"/>
                <w:szCs w:val="16"/>
                <w:lang w:val="es-BO"/>
              </w:rPr>
            </w:pPr>
            <w:r w:rsidRPr="005166EB">
              <w:rPr>
                <w:rFonts w:ascii="Arial Narrow" w:hAnsi="Arial Narrow"/>
                <w:sz w:val="16"/>
                <w:szCs w:val="16"/>
                <w:lang w:val="es-BO"/>
              </w:rPr>
              <w:t>Las TICs en áreas estratégicas clave (Educación, salud y seguridad ciudadana), en las industrias y las PYMES</w:t>
            </w:r>
          </w:p>
        </w:tc>
      </w:tr>
      <w:tr w:rsidR="005166EB" w:rsidRPr="00B63C3A" w:rsidTr="005166EB">
        <w:trPr>
          <w:trHeight w:hRule="exact" w:val="284"/>
        </w:trPr>
        <w:tc>
          <w:tcPr>
            <w:tcW w:w="704" w:type="dxa"/>
            <w:vMerge/>
          </w:tcPr>
          <w:p w:rsidR="005166EB" w:rsidRPr="005166EB" w:rsidRDefault="005166EB" w:rsidP="001A05A8">
            <w:pPr>
              <w:jc w:val="center"/>
              <w:rPr>
                <w:rFonts w:ascii="Arial Narrow" w:hAnsi="Arial Narrow" w:cs="Arial"/>
                <w:b/>
                <w:sz w:val="18"/>
                <w:szCs w:val="18"/>
                <w:lang w:val="es-BO"/>
              </w:rPr>
            </w:pPr>
          </w:p>
        </w:tc>
        <w:tc>
          <w:tcPr>
            <w:tcW w:w="2126" w:type="dxa"/>
            <w:vMerge/>
          </w:tcPr>
          <w:p w:rsidR="005166EB" w:rsidRPr="005166EB" w:rsidRDefault="005166EB" w:rsidP="001A05A8">
            <w:pPr>
              <w:rPr>
                <w:rFonts w:ascii="Arial Narrow" w:hAnsi="Arial Narrow" w:cs="Arial"/>
                <w:b/>
                <w:sz w:val="16"/>
                <w:szCs w:val="16"/>
                <w:lang w:val="es-BO"/>
              </w:rPr>
            </w:pPr>
          </w:p>
        </w:tc>
        <w:tc>
          <w:tcPr>
            <w:tcW w:w="5954" w:type="dxa"/>
          </w:tcPr>
          <w:p w:rsidR="005166EB" w:rsidRPr="00B63C3A" w:rsidRDefault="005166EB" w:rsidP="001A05A8">
            <w:pPr>
              <w:rPr>
                <w:rFonts w:ascii="Arial Narrow" w:hAnsi="Arial Narrow" w:cs="Arial"/>
                <w:sz w:val="16"/>
                <w:szCs w:val="16"/>
              </w:rPr>
            </w:pPr>
            <w:r w:rsidRPr="00B63C3A">
              <w:rPr>
                <w:rFonts w:ascii="Arial Narrow" w:hAnsi="Arial Narrow" w:cs="Arial"/>
                <w:sz w:val="16"/>
                <w:szCs w:val="16"/>
              </w:rPr>
              <w:t>Comunidad Digital</w:t>
            </w:r>
          </w:p>
        </w:tc>
      </w:tr>
      <w:tr w:rsidR="005166EB" w:rsidRPr="00B63C3A" w:rsidTr="005166EB">
        <w:trPr>
          <w:trHeight w:hRule="exact" w:val="284"/>
        </w:trPr>
        <w:tc>
          <w:tcPr>
            <w:tcW w:w="704" w:type="dxa"/>
            <w:vMerge/>
          </w:tcPr>
          <w:p w:rsidR="005166EB" w:rsidRPr="00F73D73" w:rsidRDefault="005166EB" w:rsidP="001A05A8">
            <w:pPr>
              <w:contextualSpacing/>
              <w:jc w:val="center"/>
              <w:rPr>
                <w:b/>
                <w:sz w:val="18"/>
                <w:szCs w:val="18"/>
              </w:rPr>
            </w:pPr>
          </w:p>
        </w:tc>
        <w:tc>
          <w:tcPr>
            <w:tcW w:w="2126" w:type="dxa"/>
            <w:vMerge/>
          </w:tcPr>
          <w:p w:rsidR="005166EB" w:rsidRPr="00B63C3A" w:rsidRDefault="005166EB" w:rsidP="001A05A8">
            <w:pPr>
              <w:contextualSpacing/>
              <w:rPr>
                <w:b/>
                <w:sz w:val="16"/>
                <w:szCs w:val="16"/>
              </w:rPr>
            </w:pPr>
          </w:p>
        </w:tc>
        <w:tc>
          <w:tcPr>
            <w:tcW w:w="5954" w:type="dxa"/>
          </w:tcPr>
          <w:p w:rsidR="005166EB" w:rsidRPr="00B63C3A" w:rsidRDefault="005166EB" w:rsidP="001A05A8">
            <w:pPr>
              <w:contextualSpacing/>
              <w:rPr>
                <w:rFonts w:ascii="Arial Narrow" w:hAnsi="Arial Narrow" w:cs="Arial"/>
                <w:sz w:val="16"/>
                <w:szCs w:val="16"/>
              </w:rPr>
            </w:pPr>
            <w:r w:rsidRPr="00B63C3A">
              <w:rPr>
                <w:sz w:val="16"/>
                <w:szCs w:val="16"/>
              </w:rPr>
              <w:t>Servicios y contenidos digitales</w:t>
            </w:r>
          </w:p>
        </w:tc>
      </w:tr>
      <w:tr w:rsidR="005166EB" w:rsidRPr="00B80977" w:rsidTr="005166EB">
        <w:trPr>
          <w:trHeight w:hRule="exact" w:val="284"/>
        </w:trPr>
        <w:tc>
          <w:tcPr>
            <w:tcW w:w="704" w:type="dxa"/>
            <w:vMerge/>
          </w:tcPr>
          <w:p w:rsidR="005166EB" w:rsidRPr="00F73D73" w:rsidRDefault="005166EB" w:rsidP="001A05A8">
            <w:pPr>
              <w:jc w:val="center"/>
              <w:rPr>
                <w:rFonts w:ascii="Arial Narrow" w:hAnsi="Arial Narrow" w:cs="Arial"/>
                <w:b/>
                <w:sz w:val="18"/>
                <w:szCs w:val="18"/>
              </w:rPr>
            </w:pPr>
          </w:p>
        </w:tc>
        <w:tc>
          <w:tcPr>
            <w:tcW w:w="2126" w:type="dxa"/>
            <w:vMerge/>
          </w:tcPr>
          <w:p w:rsidR="005166EB" w:rsidRPr="00B63C3A" w:rsidRDefault="005166EB" w:rsidP="001A05A8">
            <w:pPr>
              <w:rPr>
                <w:rFonts w:ascii="Arial Narrow" w:hAnsi="Arial Narrow" w:cs="Arial"/>
                <w:b/>
                <w:sz w:val="16"/>
                <w:szCs w:val="16"/>
              </w:rPr>
            </w:pPr>
          </w:p>
        </w:tc>
        <w:tc>
          <w:tcPr>
            <w:tcW w:w="5954" w:type="dxa"/>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 xml:space="preserve">Desarrollo de software, bases de datos y consistencia </w:t>
            </w:r>
          </w:p>
        </w:tc>
      </w:tr>
      <w:tr w:rsidR="005166EB" w:rsidRPr="00B80977" w:rsidTr="005166EB">
        <w:trPr>
          <w:trHeight w:hRule="exact" w:val="408"/>
        </w:trPr>
        <w:tc>
          <w:tcPr>
            <w:tcW w:w="704" w:type="dxa"/>
            <w:vMerge/>
          </w:tcPr>
          <w:p w:rsidR="005166EB" w:rsidRPr="005166EB" w:rsidRDefault="005166EB" w:rsidP="001A05A8">
            <w:pPr>
              <w:jc w:val="center"/>
              <w:rPr>
                <w:rFonts w:ascii="Arial Narrow" w:hAnsi="Arial Narrow" w:cs="Arial"/>
                <w:b/>
                <w:sz w:val="18"/>
                <w:szCs w:val="18"/>
                <w:lang w:val="es-BO"/>
              </w:rPr>
            </w:pPr>
          </w:p>
        </w:tc>
        <w:tc>
          <w:tcPr>
            <w:tcW w:w="2126" w:type="dxa"/>
            <w:vMerge/>
          </w:tcPr>
          <w:p w:rsidR="005166EB" w:rsidRPr="005166EB" w:rsidRDefault="005166EB" w:rsidP="001A05A8">
            <w:pPr>
              <w:rPr>
                <w:rFonts w:ascii="Arial Narrow" w:hAnsi="Arial Narrow" w:cs="Arial"/>
                <w:b/>
                <w:sz w:val="16"/>
                <w:szCs w:val="16"/>
                <w:lang w:val="es-BO"/>
              </w:rPr>
            </w:pPr>
          </w:p>
        </w:tc>
        <w:tc>
          <w:tcPr>
            <w:tcW w:w="5954" w:type="dxa"/>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 xml:space="preserve">Nuevas Tecnologías: Microelectrónica, telecomunicaciones, Biotecnología, Nanotecnología, robótica y aeroespacial  </w:t>
            </w:r>
          </w:p>
        </w:tc>
      </w:tr>
      <w:tr w:rsidR="005166EB" w:rsidRPr="00B80977" w:rsidTr="005166EB">
        <w:trPr>
          <w:trHeight w:hRule="exact" w:val="284"/>
        </w:trPr>
        <w:tc>
          <w:tcPr>
            <w:tcW w:w="704" w:type="dxa"/>
            <w:vMerge w:val="restart"/>
            <w:shd w:val="clear" w:color="auto" w:fill="BFBFBF" w:themeFill="background1" w:themeFillShade="BF"/>
          </w:tcPr>
          <w:p w:rsidR="005166EB" w:rsidRPr="00F73D73" w:rsidRDefault="005166EB" w:rsidP="001A05A8">
            <w:pPr>
              <w:jc w:val="center"/>
              <w:rPr>
                <w:rFonts w:ascii="Arial Narrow" w:hAnsi="Arial Narrow" w:cs="Arial"/>
                <w:b/>
                <w:sz w:val="18"/>
                <w:szCs w:val="18"/>
              </w:rPr>
            </w:pPr>
            <w:r w:rsidRPr="00F73D73">
              <w:rPr>
                <w:rFonts w:ascii="Arial Narrow" w:hAnsi="Arial Narrow" w:cs="Arial"/>
                <w:b/>
                <w:sz w:val="18"/>
                <w:szCs w:val="18"/>
              </w:rPr>
              <w:t>9</w:t>
            </w:r>
          </w:p>
        </w:tc>
        <w:tc>
          <w:tcPr>
            <w:tcW w:w="2126" w:type="dxa"/>
            <w:vMerge w:val="restart"/>
            <w:shd w:val="clear" w:color="auto" w:fill="BFBFBF" w:themeFill="background1" w:themeFillShade="BF"/>
          </w:tcPr>
          <w:p w:rsidR="005166EB" w:rsidRPr="00B63C3A" w:rsidRDefault="005166EB" w:rsidP="001A05A8">
            <w:pPr>
              <w:rPr>
                <w:rFonts w:ascii="Arial Narrow" w:hAnsi="Arial Narrow" w:cs="Arial"/>
                <w:b/>
                <w:sz w:val="16"/>
                <w:szCs w:val="16"/>
              </w:rPr>
            </w:pPr>
            <w:r w:rsidRPr="00B63C3A">
              <w:rPr>
                <w:rFonts w:ascii="Arial Narrow" w:hAnsi="Arial Narrow" w:cs="Arial"/>
                <w:b/>
                <w:sz w:val="16"/>
                <w:szCs w:val="16"/>
              </w:rPr>
              <w:t>TRANSPORTE, VIALIDAD Y COMUNICACIÓN</w:t>
            </w:r>
          </w:p>
        </w:tc>
        <w:tc>
          <w:tcPr>
            <w:tcW w:w="5954" w:type="dxa"/>
            <w:shd w:val="clear" w:color="auto" w:fill="BFBFBF" w:themeFill="background1" w:themeFillShade="BF"/>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 xml:space="preserve">Planificación, gestión  y tecnología para la construcción </w:t>
            </w:r>
          </w:p>
        </w:tc>
      </w:tr>
      <w:tr w:rsidR="005166EB" w:rsidRPr="00B63C3A" w:rsidTr="005166EB">
        <w:trPr>
          <w:trHeight w:hRule="exact" w:val="284"/>
        </w:trPr>
        <w:tc>
          <w:tcPr>
            <w:tcW w:w="704" w:type="dxa"/>
            <w:vMerge/>
            <w:shd w:val="clear" w:color="auto" w:fill="BFBFBF" w:themeFill="background1" w:themeFillShade="BF"/>
          </w:tcPr>
          <w:p w:rsidR="005166EB" w:rsidRPr="005166EB" w:rsidRDefault="005166EB" w:rsidP="001A05A8">
            <w:pPr>
              <w:jc w:val="center"/>
              <w:rPr>
                <w:rFonts w:ascii="Arial Narrow" w:hAnsi="Arial Narrow" w:cs="Arial"/>
                <w:b/>
                <w:sz w:val="18"/>
                <w:szCs w:val="18"/>
                <w:lang w:val="es-BO"/>
              </w:rPr>
            </w:pPr>
          </w:p>
        </w:tc>
        <w:tc>
          <w:tcPr>
            <w:tcW w:w="2126" w:type="dxa"/>
            <w:vMerge/>
            <w:shd w:val="clear" w:color="auto" w:fill="BFBFBF" w:themeFill="background1" w:themeFillShade="BF"/>
          </w:tcPr>
          <w:p w:rsidR="005166EB" w:rsidRPr="005166EB" w:rsidRDefault="005166EB" w:rsidP="001A05A8">
            <w:pPr>
              <w:rPr>
                <w:rFonts w:ascii="Arial Narrow" w:hAnsi="Arial Narrow" w:cs="Arial"/>
                <w:b/>
                <w:sz w:val="16"/>
                <w:szCs w:val="16"/>
                <w:lang w:val="es-BO"/>
              </w:rPr>
            </w:pPr>
          </w:p>
        </w:tc>
        <w:tc>
          <w:tcPr>
            <w:tcW w:w="5954" w:type="dxa"/>
            <w:shd w:val="clear" w:color="auto" w:fill="BFBFBF" w:themeFill="background1" w:themeFillShade="BF"/>
          </w:tcPr>
          <w:p w:rsidR="005166EB" w:rsidRPr="00B63C3A" w:rsidRDefault="005166EB" w:rsidP="001A05A8">
            <w:pPr>
              <w:rPr>
                <w:rFonts w:ascii="Arial Narrow" w:hAnsi="Arial Narrow" w:cs="Arial"/>
                <w:sz w:val="16"/>
                <w:szCs w:val="16"/>
              </w:rPr>
            </w:pPr>
            <w:r w:rsidRPr="00B63C3A">
              <w:rPr>
                <w:rFonts w:ascii="Arial Narrow" w:hAnsi="Arial Narrow" w:cs="Arial"/>
                <w:sz w:val="16"/>
                <w:szCs w:val="16"/>
              </w:rPr>
              <w:t>Transporte, vialidad y sociedad</w:t>
            </w:r>
          </w:p>
        </w:tc>
      </w:tr>
      <w:tr w:rsidR="005166EB" w:rsidRPr="00B80977" w:rsidTr="005166EB">
        <w:trPr>
          <w:trHeight w:hRule="exact" w:val="422"/>
        </w:trPr>
        <w:tc>
          <w:tcPr>
            <w:tcW w:w="704" w:type="dxa"/>
            <w:vMerge w:val="restart"/>
          </w:tcPr>
          <w:p w:rsidR="005166EB" w:rsidRPr="00F73D73" w:rsidRDefault="005166EB" w:rsidP="001A05A8">
            <w:pPr>
              <w:jc w:val="center"/>
              <w:rPr>
                <w:rFonts w:ascii="Arial Narrow" w:hAnsi="Arial Narrow" w:cs="Arial"/>
                <w:b/>
                <w:sz w:val="18"/>
                <w:szCs w:val="18"/>
              </w:rPr>
            </w:pPr>
          </w:p>
          <w:p w:rsidR="005166EB" w:rsidRPr="00F73D73" w:rsidRDefault="005166EB" w:rsidP="001A05A8">
            <w:pPr>
              <w:jc w:val="center"/>
              <w:rPr>
                <w:rFonts w:ascii="Arial Narrow" w:hAnsi="Arial Narrow" w:cs="Arial"/>
                <w:b/>
                <w:sz w:val="18"/>
                <w:szCs w:val="18"/>
              </w:rPr>
            </w:pPr>
            <w:r w:rsidRPr="00F73D73">
              <w:rPr>
                <w:rFonts w:ascii="Arial Narrow" w:hAnsi="Arial Narrow" w:cs="Arial"/>
                <w:b/>
                <w:sz w:val="18"/>
                <w:szCs w:val="18"/>
              </w:rPr>
              <w:t>10</w:t>
            </w:r>
          </w:p>
          <w:p w:rsidR="005166EB" w:rsidRPr="00F73D73" w:rsidRDefault="005166EB" w:rsidP="001A05A8">
            <w:pPr>
              <w:jc w:val="center"/>
              <w:rPr>
                <w:rFonts w:ascii="Arial Narrow" w:hAnsi="Arial Narrow" w:cs="Arial"/>
                <w:b/>
                <w:sz w:val="18"/>
                <w:szCs w:val="18"/>
              </w:rPr>
            </w:pPr>
          </w:p>
          <w:p w:rsidR="005166EB" w:rsidRPr="00F73D73" w:rsidRDefault="005166EB" w:rsidP="001A05A8">
            <w:pPr>
              <w:jc w:val="center"/>
              <w:rPr>
                <w:rFonts w:ascii="Arial Narrow" w:hAnsi="Arial Narrow" w:cs="Arial"/>
                <w:b/>
                <w:sz w:val="18"/>
                <w:szCs w:val="18"/>
              </w:rPr>
            </w:pPr>
          </w:p>
        </w:tc>
        <w:tc>
          <w:tcPr>
            <w:tcW w:w="2126" w:type="dxa"/>
            <w:vMerge w:val="restart"/>
          </w:tcPr>
          <w:p w:rsidR="005166EB" w:rsidRPr="005166EB" w:rsidRDefault="005166EB" w:rsidP="001A05A8">
            <w:pPr>
              <w:rPr>
                <w:rFonts w:ascii="Arial Narrow" w:hAnsi="Arial Narrow" w:cs="Arial"/>
                <w:b/>
                <w:sz w:val="16"/>
                <w:szCs w:val="16"/>
                <w:lang w:val="es-BO"/>
              </w:rPr>
            </w:pPr>
          </w:p>
          <w:p w:rsidR="005166EB" w:rsidRPr="005166EB" w:rsidRDefault="005166EB" w:rsidP="001A05A8">
            <w:pPr>
              <w:rPr>
                <w:rFonts w:ascii="Arial Narrow" w:hAnsi="Arial Narrow" w:cs="Arial"/>
                <w:b/>
                <w:sz w:val="16"/>
                <w:szCs w:val="16"/>
                <w:lang w:val="es-BO"/>
              </w:rPr>
            </w:pPr>
            <w:r w:rsidRPr="005166EB">
              <w:rPr>
                <w:rFonts w:ascii="Arial Narrow" w:hAnsi="Arial Narrow" w:cs="Arial"/>
                <w:b/>
                <w:sz w:val="16"/>
                <w:szCs w:val="16"/>
                <w:lang w:val="es-BO"/>
              </w:rPr>
              <w:t>DESARROLLO INDUSTRIAL Y TECNOLOGIA  E INNOVACION</w:t>
            </w:r>
          </w:p>
        </w:tc>
        <w:tc>
          <w:tcPr>
            <w:tcW w:w="5954" w:type="dxa"/>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 xml:space="preserve">Creatividad y desarrollo de tecnologías competitivas para la industrialización de recursos estratégicos de la región </w:t>
            </w:r>
          </w:p>
        </w:tc>
      </w:tr>
      <w:tr w:rsidR="005166EB" w:rsidRPr="00B80977" w:rsidTr="005166EB">
        <w:trPr>
          <w:trHeight w:hRule="exact" w:val="284"/>
        </w:trPr>
        <w:tc>
          <w:tcPr>
            <w:tcW w:w="704" w:type="dxa"/>
            <w:vMerge/>
          </w:tcPr>
          <w:p w:rsidR="005166EB" w:rsidRPr="005166EB" w:rsidRDefault="005166EB" w:rsidP="001A05A8">
            <w:pPr>
              <w:rPr>
                <w:rFonts w:ascii="Arial Narrow" w:hAnsi="Arial Narrow" w:cs="Arial"/>
                <w:sz w:val="18"/>
                <w:szCs w:val="18"/>
                <w:lang w:val="es-BO"/>
              </w:rPr>
            </w:pPr>
          </w:p>
        </w:tc>
        <w:tc>
          <w:tcPr>
            <w:tcW w:w="2126" w:type="dxa"/>
            <w:vMerge/>
          </w:tcPr>
          <w:p w:rsidR="005166EB" w:rsidRPr="005166EB" w:rsidRDefault="005166EB" w:rsidP="001A05A8">
            <w:pPr>
              <w:rPr>
                <w:rFonts w:ascii="Arial Narrow" w:hAnsi="Arial Narrow" w:cs="Arial"/>
                <w:sz w:val="18"/>
                <w:szCs w:val="18"/>
                <w:lang w:val="es-BO"/>
              </w:rPr>
            </w:pPr>
          </w:p>
        </w:tc>
        <w:tc>
          <w:tcPr>
            <w:tcW w:w="5954" w:type="dxa"/>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Competitividad, gestión e innovación para el crecimiento industrial</w:t>
            </w:r>
          </w:p>
        </w:tc>
      </w:tr>
      <w:tr w:rsidR="005166EB" w:rsidRPr="00B80977" w:rsidTr="005166EB">
        <w:trPr>
          <w:trHeight w:hRule="exact" w:val="432"/>
        </w:trPr>
        <w:tc>
          <w:tcPr>
            <w:tcW w:w="704" w:type="dxa"/>
            <w:vMerge/>
          </w:tcPr>
          <w:p w:rsidR="005166EB" w:rsidRPr="005166EB" w:rsidRDefault="005166EB" w:rsidP="001A05A8">
            <w:pPr>
              <w:rPr>
                <w:rFonts w:ascii="Arial Narrow" w:hAnsi="Arial Narrow" w:cs="Arial"/>
                <w:sz w:val="18"/>
                <w:szCs w:val="18"/>
                <w:lang w:val="es-BO"/>
              </w:rPr>
            </w:pPr>
          </w:p>
        </w:tc>
        <w:tc>
          <w:tcPr>
            <w:tcW w:w="2126" w:type="dxa"/>
            <w:vMerge/>
          </w:tcPr>
          <w:p w:rsidR="005166EB" w:rsidRPr="005166EB" w:rsidRDefault="005166EB" w:rsidP="001A05A8">
            <w:pPr>
              <w:rPr>
                <w:rFonts w:ascii="Arial Narrow" w:hAnsi="Arial Narrow" w:cs="Arial"/>
                <w:sz w:val="18"/>
                <w:szCs w:val="18"/>
                <w:lang w:val="es-BO"/>
              </w:rPr>
            </w:pPr>
          </w:p>
        </w:tc>
        <w:tc>
          <w:tcPr>
            <w:tcW w:w="5954" w:type="dxa"/>
          </w:tcPr>
          <w:p w:rsidR="005166EB" w:rsidRPr="005166EB" w:rsidRDefault="005166EB" w:rsidP="001A05A8">
            <w:pPr>
              <w:rPr>
                <w:rFonts w:ascii="Arial Narrow" w:hAnsi="Arial Narrow" w:cs="Arial"/>
                <w:sz w:val="16"/>
                <w:szCs w:val="16"/>
                <w:lang w:val="es-BO"/>
              </w:rPr>
            </w:pPr>
            <w:r w:rsidRPr="005166EB">
              <w:rPr>
                <w:rFonts w:ascii="Arial Narrow" w:hAnsi="Arial Narrow" w:cs="Arial"/>
                <w:sz w:val="16"/>
                <w:szCs w:val="16"/>
                <w:lang w:val="es-BO"/>
              </w:rPr>
              <w:t xml:space="preserve">Saberes locales y  ancestrales en sinergia con conocimientos científicos, bases del desarrollo productivo industrial </w:t>
            </w:r>
          </w:p>
        </w:tc>
      </w:tr>
    </w:tbl>
    <w:p w:rsidR="00D62C89" w:rsidRPr="005166EB" w:rsidRDefault="00D62C89" w:rsidP="005166EB">
      <w:pPr>
        <w:spacing w:after="0" w:line="240" w:lineRule="auto"/>
        <w:ind w:firstLine="284"/>
        <w:rPr>
          <w:rFonts w:ascii="Arial" w:hAnsi="Arial" w:cs="Arial"/>
          <w:lang w:val="es-BO"/>
        </w:rPr>
      </w:pPr>
      <w:r w:rsidRPr="005166EB">
        <w:rPr>
          <w:rFonts w:ascii="Arial" w:hAnsi="Arial" w:cs="Arial"/>
          <w:lang w:val="es-BO"/>
        </w:rPr>
        <w:lastRenderedPageBreak/>
        <w:t>Fuente: Elaboración propia</w:t>
      </w:r>
    </w:p>
    <w:p w:rsidR="0085268C" w:rsidRDefault="0085268C" w:rsidP="0000051E">
      <w:pPr>
        <w:spacing w:after="0" w:line="240" w:lineRule="auto"/>
        <w:rPr>
          <w:rFonts w:ascii="Arial" w:hAnsi="Arial" w:cs="Arial"/>
          <w:sz w:val="24"/>
          <w:szCs w:val="24"/>
          <w:lang w:val="es-BO"/>
        </w:rPr>
      </w:pPr>
    </w:p>
    <w:p w:rsidR="0085268C" w:rsidRPr="00526208" w:rsidRDefault="0085268C" w:rsidP="0000051E">
      <w:pPr>
        <w:spacing w:after="0" w:line="240" w:lineRule="auto"/>
        <w:rPr>
          <w:rFonts w:ascii="Arial" w:hAnsi="Arial" w:cs="Arial"/>
          <w:sz w:val="24"/>
          <w:szCs w:val="24"/>
          <w:lang w:val="es-BO"/>
        </w:rPr>
      </w:pPr>
    </w:p>
    <w:p w:rsidR="00121840" w:rsidRPr="0085268C" w:rsidRDefault="00937605" w:rsidP="00937605">
      <w:pPr>
        <w:pStyle w:val="Ttulo1"/>
        <w:tabs>
          <w:tab w:val="left" w:pos="284"/>
        </w:tabs>
        <w:ind w:left="284" w:hanging="284"/>
        <w:rPr>
          <w:lang w:val="es-BO"/>
        </w:rPr>
      </w:pPr>
      <w:bookmarkStart w:id="13" w:name="_Toc471887283"/>
      <w:r>
        <w:rPr>
          <w:lang w:val="es-BO"/>
        </w:rPr>
        <w:t>7.</w:t>
      </w:r>
      <w:r>
        <w:rPr>
          <w:lang w:val="es-BO"/>
        </w:rPr>
        <w:tab/>
      </w:r>
      <w:r w:rsidR="0085268C" w:rsidRPr="0085268C">
        <w:rPr>
          <w:lang w:val="es-BO"/>
        </w:rPr>
        <w:t>Organización del Agencia Nacional Universitaria de Ciencia, Tecnología e Innovación (ANUCTI)</w:t>
      </w:r>
      <w:bookmarkEnd w:id="13"/>
    </w:p>
    <w:p w:rsidR="0039740A" w:rsidRPr="00526208" w:rsidRDefault="0039740A" w:rsidP="00BE3E5F">
      <w:pPr>
        <w:spacing w:after="0" w:line="240" w:lineRule="auto"/>
        <w:jc w:val="both"/>
        <w:rPr>
          <w:rFonts w:ascii="Arial" w:hAnsi="Arial" w:cs="Arial"/>
          <w:sz w:val="24"/>
          <w:szCs w:val="24"/>
          <w:lang w:val="es-BO"/>
        </w:rPr>
      </w:pPr>
    </w:p>
    <w:p w:rsidR="009B2DEB" w:rsidRPr="00526208" w:rsidRDefault="00241145" w:rsidP="009B2DEB">
      <w:pPr>
        <w:spacing w:after="0" w:line="240" w:lineRule="auto"/>
        <w:jc w:val="both"/>
        <w:rPr>
          <w:rFonts w:ascii="Arial" w:hAnsi="Arial" w:cs="Arial"/>
          <w:sz w:val="24"/>
          <w:szCs w:val="24"/>
          <w:lang w:val="es-BO"/>
        </w:rPr>
      </w:pPr>
      <w:r>
        <w:rPr>
          <w:rFonts w:ascii="Arial" w:hAnsi="Arial" w:cs="Arial"/>
          <w:sz w:val="24"/>
          <w:szCs w:val="24"/>
          <w:lang w:val="es-BO"/>
        </w:rPr>
        <w:t>La organización que manejará el F</w:t>
      </w:r>
      <w:r w:rsidR="001D752D">
        <w:rPr>
          <w:rFonts w:ascii="Arial" w:hAnsi="Arial" w:cs="Arial"/>
          <w:sz w:val="24"/>
          <w:szCs w:val="24"/>
          <w:lang w:val="es-BO"/>
        </w:rPr>
        <w:t xml:space="preserve">ONUCyT </w:t>
      </w:r>
      <w:r>
        <w:rPr>
          <w:rFonts w:ascii="Arial" w:hAnsi="Arial" w:cs="Arial"/>
          <w:sz w:val="24"/>
          <w:szCs w:val="24"/>
          <w:lang w:val="es-BO"/>
        </w:rPr>
        <w:t>es la Agencia Nacional Universitaria de Ciencia, Tecnología e Innovación (ANUCTI). A continuación</w:t>
      </w:r>
      <w:r w:rsidR="001D752D">
        <w:rPr>
          <w:rFonts w:ascii="Arial" w:hAnsi="Arial" w:cs="Arial"/>
          <w:sz w:val="24"/>
          <w:szCs w:val="24"/>
          <w:lang w:val="es-BO"/>
        </w:rPr>
        <w:t>,</w:t>
      </w:r>
      <w:r>
        <w:rPr>
          <w:rFonts w:ascii="Arial" w:hAnsi="Arial" w:cs="Arial"/>
          <w:sz w:val="24"/>
          <w:szCs w:val="24"/>
          <w:lang w:val="es-BO"/>
        </w:rPr>
        <w:t xml:space="preserve"> se presenta el organigrama de esta Unidad:</w:t>
      </w:r>
    </w:p>
    <w:p w:rsidR="00FD7D0C" w:rsidRPr="00526208" w:rsidRDefault="00FD7D0C" w:rsidP="00443FDA">
      <w:pPr>
        <w:spacing w:after="0" w:line="240" w:lineRule="auto"/>
        <w:jc w:val="center"/>
        <w:rPr>
          <w:rFonts w:ascii="Arial" w:hAnsi="Arial" w:cs="Arial"/>
          <w:b/>
          <w:sz w:val="24"/>
          <w:szCs w:val="24"/>
          <w:lang w:val="es-BO"/>
        </w:rPr>
      </w:pPr>
    </w:p>
    <w:p w:rsidR="00443FDA" w:rsidRPr="00526208" w:rsidRDefault="00443FDA" w:rsidP="00443FDA">
      <w:pPr>
        <w:spacing w:after="0" w:line="240" w:lineRule="auto"/>
        <w:jc w:val="center"/>
        <w:rPr>
          <w:rFonts w:ascii="Arial" w:hAnsi="Arial" w:cs="Arial"/>
          <w:b/>
          <w:sz w:val="24"/>
          <w:szCs w:val="24"/>
          <w:lang w:val="es-BO"/>
        </w:rPr>
      </w:pPr>
      <w:r w:rsidRPr="00526208">
        <w:rPr>
          <w:rFonts w:ascii="Arial" w:hAnsi="Arial" w:cs="Arial"/>
          <w:b/>
          <w:sz w:val="24"/>
          <w:szCs w:val="24"/>
          <w:lang w:val="es-BO"/>
        </w:rPr>
        <w:t>Figura 3</w:t>
      </w:r>
    </w:p>
    <w:p w:rsidR="00443FDA" w:rsidRPr="00526208" w:rsidRDefault="00443FDA" w:rsidP="00443FDA">
      <w:pPr>
        <w:spacing w:after="0" w:line="240" w:lineRule="auto"/>
        <w:jc w:val="center"/>
        <w:rPr>
          <w:rFonts w:ascii="Arial" w:hAnsi="Arial" w:cs="Arial"/>
          <w:b/>
          <w:sz w:val="24"/>
          <w:szCs w:val="24"/>
          <w:lang w:val="es-BO"/>
        </w:rPr>
      </w:pPr>
      <w:r w:rsidRPr="00526208">
        <w:rPr>
          <w:rFonts w:ascii="Arial" w:hAnsi="Arial" w:cs="Arial"/>
          <w:b/>
          <w:sz w:val="24"/>
          <w:szCs w:val="24"/>
          <w:lang w:val="es-BO"/>
        </w:rPr>
        <w:t xml:space="preserve">Estructura Organizacional del </w:t>
      </w:r>
      <w:r w:rsidR="0085268C">
        <w:rPr>
          <w:rFonts w:ascii="Arial" w:hAnsi="Arial" w:cs="Arial"/>
          <w:b/>
          <w:sz w:val="24"/>
          <w:szCs w:val="24"/>
          <w:lang w:val="es-BO"/>
        </w:rPr>
        <w:t>ANUCTI</w:t>
      </w:r>
    </w:p>
    <w:p w:rsidR="00FD7D0C" w:rsidRDefault="0085268C" w:rsidP="00443FDA">
      <w:pPr>
        <w:spacing w:after="0" w:line="240" w:lineRule="auto"/>
        <w:jc w:val="center"/>
        <w:rPr>
          <w:rFonts w:ascii="Arial" w:hAnsi="Arial" w:cs="Arial"/>
          <w:b/>
          <w:sz w:val="24"/>
          <w:szCs w:val="24"/>
          <w:lang w:val="es-BO"/>
        </w:rPr>
      </w:pPr>
      <w:r>
        <w:rPr>
          <w:rFonts w:ascii="Times New Roman" w:hAnsi="Times New Roman" w:cs="Times New Roman"/>
          <w:b/>
          <w:noProof/>
          <w:sz w:val="10"/>
          <w:szCs w:val="10"/>
          <w:lang w:val="es-ES" w:eastAsia="es-ES"/>
        </w:rPr>
        <w:drawing>
          <wp:anchor distT="0" distB="0" distL="114300" distR="114300" simplePos="0" relativeHeight="251670528" behindDoc="0" locked="0" layoutInCell="1" allowOverlap="1" wp14:anchorId="72A779B5" wp14:editId="1DF5035A">
            <wp:simplePos x="0" y="0"/>
            <wp:positionH relativeFrom="column">
              <wp:posOffset>0</wp:posOffset>
            </wp:positionH>
            <wp:positionV relativeFrom="paragraph">
              <wp:posOffset>132715</wp:posOffset>
            </wp:positionV>
            <wp:extent cx="5304155" cy="31813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4155" cy="3181350"/>
                    </a:xfrm>
                    <a:prstGeom prst="rect">
                      <a:avLst/>
                    </a:prstGeom>
                    <a:noFill/>
                  </pic:spPr>
                </pic:pic>
              </a:graphicData>
            </a:graphic>
            <wp14:sizeRelH relativeFrom="page">
              <wp14:pctWidth>0</wp14:pctWidth>
            </wp14:sizeRelH>
            <wp14:sizeRelV relativeFrom="page">
              <wp14:pctHeight>0</wp14:pctHeight>
            </wp14:sizeRelV>
          </wp:anchor>
        </w:drawing>
      </w:r>
    </w:p>
    <w:p w:rsidR="0085268C" w:rsidRPr="00526208" w:rsidRDefault="0085268C" w:rsidP="00443FDA">
      <w:pPr>
        <w:spacing w:after="0" w:line="240" w:lineRule="auto"/>
        <w:jc w:val="center"/>
        <w:rPr>
          <w:rFonts w:ascii="Arial" w:hAnsi="Arial" w:cs="Arial"/>
          <w:b/>
          <w:sz w:val="24"/>
          <w:szCs w:val="24"/>
          <w:lang w:val="es-BO"/>
        </w:rPr>
      </w:pPr>
    </w:p>
    <w:p w:rsidR="0003518C" w:rsidRPr="001A05A8" w:rsidRDefault="0003518C" w:rsidP="009B2DEB">
      <w:pPr>
        <w:spacing w:after="0" w:line="240" w:lineRule="auto"/>
        <w:jc w:val="both"/>
        <w:rPr>
          <w:rFonts w:ascii="Arial" w:hAnsi="Arial" w:cs="Arial"/>
          <w:noProof/>
          <w:sz w:val="24"/>
          <w:szCs w:val="24"/>
          <w:lang w:val="es-BO"/>
        </w:rPr>
      </w:pPr>
    </w:p>
    <w:p w:rsidR="0085268C" w:rsidRPr="00526208" w:rsidRDefault="0085268C" w:rsidP="009B2DEB">
      <w:pPr>
        <w:spacing w:after="0" w:line="240" w:lineRule="auto"/>
        <w:jc w:val="both"/>
        <w:rPr>
          <w:rFonts w:ascii="Arial" w:hAnsi="Arial" w:cs="Arial"/>
          <w:sz w:val="24"/>
          <w:szCs w:val="24"/>
          <w:lang w:val="es-BO"/>
        </w:rPr>
      </w:pPr>
    </w:p>
    <w:p w:rsidR="00BE3E5F" w:rsidRPr="00526208" w:rsidRDefault="00443FDA" w:rsidP="000A3C5C">
      <w:pPr>
        <w:spacing w:after="0" w:line="240" w:lineRule="auto"/>
        <w:rPr>
          <w:rFonts w:ascii="Arial" w:hAnsi="Arial" w:cs="Arial"/>
          <w:sz w:val="24"/>
          <w:szCs w:val="24"/>
          <w:lang w:val="es-BO"/>
        </w:rPr>
      </w:pPr>
      <w:r w:rsidRPr="00526208">
        <w:rPr>
          <w:rFonts w:ascii="Arial" w:hAnsi="Arial" w:cs="Arial"/>
          <w:sz w:val="24"/>
          <w:szCs w:val="24"/>
          <w:lang w:val="es-BO"/>
        </w:rPr>
        <w:t>Fuente: Elaboración propia</w:t>
      </w:r>
    </w:p>
    <w:p w:rsidR="00325384" w:rsidRPr="00526208" w:rsidRDefault="00325384" w:rsidP="000A3C5C">
      <w:pPr>
        <w:spacing w:after="0" w:line="240" w:lineRule="auto"/>
        <w:rPr>
          <w:rFonts w:ascii="Arial" w:hAnsi="Arial" w:cs="Arial"/>
          <w:b/>
          <w:sz w:val="24"/>
          <w:szCs w:val="24"/>
          <w:lang w:val="es-BO"/>
        </w:rPr>
      </w:pPr>
    </w:p>
    <w:p w:rsidR="00443FDA" w:rsidRPr="00526208" w:rsidRDefault="00241145" w:rsidP="001D752D">
      <w:pPr>
        <w:jc w:val="both"/>
        <w:rPr>
          <w:rFonts w:ascii="Arial" w:hAnsi="Arial" w:cs="Arial"/>
          <w:sz w:val="24"/>
          <w:szCs w:val="24"/>
          <w:lang w:val="es-BO"/>
        </w:rPr>
      </w:pPr>
      <w:r>
        <w:rPr>
          <w:rFonts w:ascii="Arial" w:hAnsi="Arial" w:cs="Arial"/>
          <w:sz w:val="24"/>
          <w:szCs w:val="24"/>
          <w:lang w:val="es-BO"/>
        </w:rPr>
        <w:t>La descripción de funciones de cada uno de los cargos establecidos para la ANUCTI, se presenta en el documento de organización del SUII.</w:t>
      </w:r>
      <w:r w:rsidRPr="00526208">
        <w:rPr>
          <w:rFonts w:ascii="Arial" w:hAnsi="Arial" w:cs="Arial"/>
          <w:sz w:val="24"/>
          <w:szCs w:val="24"/>
          <w:lang w:val="es-BO"/>
        </w:rPr>
        <w:t xml:space="preserve"> </w:t>
      </w:r>
    </w:p>
    <w:p w:rsidR="00F428C0" w:rsidRDefault="00F428C0" w:rsidP="00F428C0">
      <w:pPr>
        <w:spacing w:after="0" w:line="240" w:lineRule="auto"/>
        <w:jc w:val="both"/>
        <w:rPr>
          <w:rFonts w:ascii="Arial" w:hAnsi="Arial" w:cs="Arial"/>
          <w:sz w:val="24"/>
          <w:szCs w:val="24"/>
          <w:lang w:val="es-BO"/>
        </w:rPr>
      </w:pPr>
    </w:p>
    <w:p w:rsidR="001A05A8" w:rsidRPr="00526208" w:rsidRDefault="001A05A8" w:rsidP="00F428C0">
      <w:pPr>
        <w:spacing w:after="0" w:line="240" w:lineRule="auto"/>
        <w:jc w:val="both"/>
        <w:rPr>
          <w:rFonts w:ascii="Arial" w:hAnsi="Arial" w:cs="Arial"/>
          <w:sz w:val="24"/>
          <w:szCs w:val="24"/>
          <w:lang w:val="es-BO"/>
        </w:rPr>
      </w:pPr>
    </w:p>
    <w:p w:rsidR="00F428C0" w:rsidRPr="0085268C" w:rsidRDefault="00937605" w:rsidP="00937605">
      <w:pPr>
        <w:pStyle w:val="Ttulo1"/>
        <w:tabs>
          <w:tab w:val="left" w:pos="284"/>
        </w:tabs>
        <w:ind w:left="284" w:hanging="284"/>
        <w:rPr>
          <w:lang w:val="es-BO"/>
        </w:rPr>
      </w:pPr>
      <w:bookmarkStart w:id="14" w:name="_Toc471887284"/>
      <w:r>
        <w:rPr>
          <w:lang w:val="es-BO"/>
        </w:rPr>
        <w:t>8.</w:t>
      </w:r>
      <w:r>
        <w:rPr>
          <w:lang w:val="es-BO"/>
        </w:rPr>
        <w:tab/>
      </w:r>
      <w:r w:rsidR="00241145">
        <w:rPr>
          <w:lang w:val="es-BO"/>
        </w:rPr>
        <w:t>Registro del</w:t>
      </w:r>
      <w:r w:rsidR="00F428C0" w:rsidRPr="0085268C">
        <w:rPr>
          <w:lang w:val="es-BO"/>
        </w:rPr>
        <w:t xml:space="preserve"> Sistema</w:t>
      </w:r>
      <w:r w:rsidR="00241145">
        <w:rPr>
          <w:lang w:val="es-BO"/>
        </w:rPr>
        <w:t xml:space="preserve"> Universitario de Investigación e Innovación (RESUII)</w:t>
      </w:r>
      <w:bookmarkEnd w:id="14"/>
    </w:p>
    <w:p w:rsidR="00F428C0" w:rsidRPr="00526208" w:rsidRDefault="00F428C0" w:rsidP="00F428C0">
      <w:pPr>
        <w:spacing w:after="0" w:line="240" w:lineRule="auto"/>
        <w:jc w:val="both"/>
        <w:rPr>
          <w:rFonts w:ascii="Arial" w:hAnsi="Arial" w:cs="Arial"/>
          <w:b/>
          <w:sz w:val="24"/>
          <w:szCs w:val="24"/>
          <w:lang w:val="es-BO"/>
        </w:rPr>
      </w:pPr>
    </w:p>
    <w:p w:rsidR="00F428C0" w:rsidRPr="00526208" w:rsidRDefault="00241145" w:rsidP="00F428C0">
      <w:pPr>
        <w:spacing w:after="0" w:line="240" w:lineRule="auto"/>
        <w:jc w:val="both"/>
        <w:rPr>
          <w:rFonts w:ascii="Arial" w:hAnsi="Arial" w:cs="Arial"/>
          <w:sz w:val="24"/>
          <w:szCs w:val="24"/>
          <w:lang w:val="es-BO"/>
        </w:rPr>
      </w:pPr>
      <w:r>
        <w:rPr>
          <w:rFonts w:ascii="Arial" w:hAnsi="Arial" w:cs="Arial"/>
          <w:sz w:val="24"/>
          <w:szCs w:val="24"/>
          <w:lang w:val="es-BO"/>
        </w:rPr>
        <w:t>El RESUII</w:t>
      </w:r>
      <w:r w:rsidR="00F428C0" w:rsidRPr="00526208">
        <w:rPr>
          <w:rFonts w:ascii="Arial" w:hAnsi="Arial" w:cs="Arial"/>
          <w:sz w:val="24"/>
          <w:szCs w:val="24"/>
          <w:lang w:val="es-BO"/>
        </w:rPr>
        <w:t xml:space="preserve"> es la plataforma informática y base de datos que contiene la información de los sujetos de apoyo del FON</w:t>
      </w:r>
      <w:r>
        <w:rPr>
          <w:rFonts w:ascii="Arial" w:hAnsi="Arial" w:cs="Arial"/>
          <w:sz w:val="24"/>
          <w:szCs w:val="24"/>
          <w:lang w:val="es-BO"/>
        </w:rPr>
        <w:t xml:space="preserve">UCyT </w:t>
      </w:r>
      <w:r w:rsidR="00F428C0" w:rsidRPr="00526208">
        <w:rPr>
          <w:rFonts w:ascii="Arial" w:hAnsi="Arial" w:cs="Arial"/>
          <w:sz w:val="24"/>
          <w:szCs w:val="24"/>
          <w:lang w:val="es-BO"/>
        </w:rPr>
        <w:t>a través de los diferentes programas</w:t>
      </w:r>
      <w:r w:rsidR="001A05A8">
        <w:rPr>
          <w:rFonts w:ascii="Arial" w:hAnsi="Arial" w:cs="Arial"/>
          <w:sz w:val="24"/>
          <w:szCs w:val="24"/>
          <w:lang w:val="es-BO"/>
        </w:rPr>
        <w:t xml:space="preserve"> y proyectos</w:t>
      </w:r>
      <w:r w:rsidR="00F428C0" w:rsidRPr="00526208">
        <w:rPr>
          <w:rFonts w:ascii="Arial" w:hAnsi="Arial" w:cs="Arial"/>
          <w:sz w:val="24"/>
          <w:szCs w:val="24"/>
          <w:lang w:val="es-BO"/>
        </w:rPr>
        <w:t>. El Registro no sirve únicamente como un índice identificador, sino más aún, permite</w:t>
      </w:r>
      <w:r w:rsidR="001A05A8">
        <w:rPr>
          <w:rFonts w:ascii="Arial" w:hAnsi="Arial" w:cs="Arial"/>
          <w:sz w:val="24"/>
          <w:szCs w:val="24"/>
          <w:lang w:val="es-BO"/>
        </w:rPr>
        <w:t xml:space="preserve"> conocer el historial de apoyos</w:t>
      </w:r>
      <w:r w:rsidR="00F428C0" w:rsidRPr="00526208">
        <w:rPr>
          <w:rFonts w:ascii="Arial" w:hAnsi="Arial" w:cs="Arial"/>
          <w:sz w:val="24"/>
          <w:szCs w:val="24"/>
          <w:lang w:val="es-BO"/>
        </w:rPr>
        <w:t xml:space="preserve"> y la trazabilidad del comportamiento dentro de S</w:t>
      </w:r>
      <w:r>
        <w:rPr>
          <w:rFonts w:ascii="Arial" w:hAnsi="Arial" w:cs="Arial"/>
          <w:sz w:val="24"/>
          <w:szCs w:val="24"/>
          <w:lang w:val="es-BO"/>
        </w:rPr>
        <w:t>UII</w:t>
      </w:r>
      <w:r w:rsidR="00F428C0" w:rsidRPr="00526208">
        <w:rPr>
          <w:rFonts w:ascii="Arial" w:hAnsi="Arial" w:cs="Arial"/>
          <w:sz w:val="24"/>
          <w:szCs w:val="24"/>
          <w:lang w:val="es-BO"/>
        </w:rPr>
        <w:t xml:space="preserve"> de las entidades, empresas e instituciones que aplican en las convocatorias. En este registro se deben diferenciar las entidades generadoras y demandantes de conocimiento.</w:t>
      </w:r>
    </w:p>
    <w:p w:rsidR="00F428C0" w:rsidRPr="00526208" w:rsidRDefault="00F428C0" w:rsidP="00F428C0">
      <w:pPr>
        <w:spacing w:after="0" w:line="240" w:lineRule="auto"/>
        <w:jc w:val="both"/>
        <w:rPr>
          <w:rFonts w:ascii="Arial" w:hAnsi="Arial" w:cs="Arial"/>
          <w:sz w:val="24"/>
          <w:szCs w:val="24"/>
          <w:lang w:val="es-BO"/>
        </w:rPr>
      </w:pPr>
    </w:p>
    <w:p w:rsidR="00F428C0" w:rsidRPr="00526208" w:rsidRDefault="00F428C0" w:rsidP="00F428C0">
      <w:pPr>
        <w:spacing w:after="0" w:line="240" w:lineRule="auto"/>
        <w:jc w:val="both"/>
        <w:rPr>
          <w:rFonts w:ascii="Arial" w:hAnsi="Arial" w:cs="Arial"/>
          <w:sz w:val="24"/>
          <w:szCs w:val="24"/>
          <w:lang w:val="es-BO"/>
        </w:rPr>
      </w:pPr>
      <w:r w:rsidRPr="00526208">
        <w:rPr>
          <w:rFonts w:ascii="Arial" w:hAnsi="Arial" w:cs="Arial"/>
          <w:sz w:val="24"/>
          <w:szCs w:val="24"/>
          <w:lang w:val="es-BO"/>
        </w:rPr>
        <w:t xml:space="preserve">En el caso de las entidades generadoras de conocimiento (en su mayoría Universidades), deben actualizar anualmente la lista de personal de investigación con el que cuentan, así como, la lista de centros y laboratorios de investigación. </w:t>
      </w:r>
    </w:p>
    <w:p w:rsidR="00F428C0" w:rsidRPr="00526208" w:rsidRDefault="00F428C0" w:rsidP="00F428C0">
      <w:pPr>
        <w:spacing w:after="0" w:line="240" w:lineRule="auto"/>
        <w:jc w:val="both"/>
        <w:rPr>
          <w:rFonts w:ascii="Arial" w:hAnsi="Arial" w:cs="Arial"/>
          <w:sz w:val="24"/>
          <w:szCs w:val="24"/>
          <w:lang w:val="es-BO"/>
        </w:rPr>
      </w:pPr>
    </w:p>
    <w:p w:rsidR="00F428C0" w:rsidRPr="00526208" w:rsidRDefault="00F428C0" w:rsidP="00F428C0">
      <w:pPr>
        <w:spacing w:after="0" w:line="240" w:lineRule="auto"/>
        <w:jc w:val="both"/>
        <w:rPr>
          <w:rFonts w:ascii="Arial" w:hAnsi="Arial" w:cs="Arial"/>
          <w:sz w:val="24"/>
          <w:szCs w:val="24"/>
          <w:lang w:val="es-BO"/>
        </w:rPr>
      </w:pPr>
      <w:r w:rsidRPr="00526208">
        <w:rPr>
          <w:rFonts w:ascii="Arial" w:hAnsi="Arial" w:cs="Arial"/>
          <w:sz w:val="24"/>
          <w:szCs w:val="24"/>
          <w:lang w:val="es-BO"/>
        </w:rPr>
        <w:lastRenderedPageBreak/>
        <w:t>En el caso de las entidades demandantes de conocimiento, se registrarán a empresas, instituciones, organizaciones sociales y personas, las mismas que como requisito deben inscribirse al momento de presentarse por convocatorias o ventanilla directa.</w:t>
      </w:r>
    </w:p>
    <w:p w:rsidR="00F428C0" w:rsidRPr="00526208" w:rsidRDefault="00F428C0" w:rsidP="00F428C0">
      <w:pPr>
        <w:spacing w:after="0" w:line="240" w:lineRule="auto"/>
        <w:jc w:val="both"/>
        <w:rPr>
          <w:rFonts w:ascii="Arial" w:hAnsi="Arial" w:cs="Arial"/>
          <w:sz w:val="24"/>
          <w:szCs w:val="24"/>
          <w:lang w:val="es-BO"/>
        </w:rPr>
      </w:pPr>
    </w:p>
    <w:p w:rsidR="00241145" w:rsidRDefault="00F428C0" w:rsidP="001D752D">
      <w:pPr>
        <w:spacing w:after="0" w:line="240" w:lineRule="auto"/>
        <w:jc w:val="both"/>
        <w:rPr>
          <w:rFonts w:ascii="Arial" w:hAnsi="Arial" w:cs="Arial"/>
          <w:sz w:val="24"/>
          <w:szCs w:val="24"/>
          <w:lang w:val="es-BO"/>
        </w:rPr>
      </w:pPr>
      <w:r w:rsidRPr="00526208">
        <w:rPr>
          <w:rFonts w:ascii="Arial" w:hAnsi="Arial" w:cs="Arial"/>
          <w:sz w:val="24"/>
          <w:szCs w:val="24"/>
          <w:lang w:val="es-BO"/>
        </w:rPr>
        <w:t>Cumpliendo ciertos requisitos, las diferentes entidades que generan conocimiento</w:t>
      </w:r>
      <w:r w:rsidR="00241145">
        <w:rPr>
          <w:rFonts w:ascii="Arial" w:hAnsi="Arial" w:cs="Arial"/>
          <w:sz w:val="24"/>
          <w:szCs w:val="24"/>
          <w:lang w:val="es-BO"/>
        </w:rPr>
        <w:t xml:space="preserve"> a nivel regional o nacional</w:t>
      </w:r>
      <w:r w:rsidRPr="00526208">
        <w:rPr>
          <w:rFonts w:ascii="Arial" w:hAnsi="Arial" w:cs="Arial"/>
          <w:sz w:val="24"/>
          <w:szCs w:val="24"/>
          <w:lang w:val="es-BO"/>
        </w:rPr>
        <w:t xml:space="preserve"> pueden ser parte del </w:t>
      </w:r>
      <w:r w:rsidR="00241145">
        <w:rPr>
          <w:rFonts w:ascii="Arial" w:hAnsi="Arial" w:cs="Arial"/>
          <w:sz w:val="24"/>
          <w:szCs w:val="24"/>
          <w:lang w:val="es-BO"/>
        </w:rPr>
        <w:t>RESUII.</w:t>
      </w:r>
    </w:p>
    <w:p w:rsidR="00241145" w:rsidRDefault="00241145" w:rsidP="00F428C0">
      <w:pPr>
        <w:spacing w:after="0" w:line="240" w:lineRule="auto"/>
        <w:rPr>
          <w:rFonts w:ascii="Arial" w:hAnsi="Arial" w:cs="Arial"/>
          <w:sz w:val="24"/>
          <w:szCs w:val="24"/>
          <w:lang w:val="es-BO"/>
        </w:rPr>
      </w:pPr>
    </w:p>
    <w:p w:rsidR="00241145" w:rsidRPr="00526208" w:rsidRDefault="00241145" w:rsidP="00F428C0">
      <w:pPr>
        <w:spacing w:after="0" w:line="240" w:lineRule="auto"/>
        <w:rPr>
          <w:rFonts w:ascii="Arial" w:hAnsi="Arial" w:cs="Arial"/>
          <w:sz w:val="24"/>
          <w:szCs w:val="24"/>
          <w:lang w:val="es-BO"/>
        </w:rPr>
      </w:pPr>
    </w:p>
    <w:p w:rsidR="000A3C5C" w:rsidRPr="0085268C" w:rsidRDefault="00937605" w:rsidP="00937605">
      <w:pPr>
        <w:pStyle w:val="Ttulo1"/>
        <w:tabs>
          <w:tab w:val="left" w:pos="284"/>
        </w:tabs>
        <w:ind w:left="284" w:hanging="284"/>
        <w:rPr>
          <w:lang w:val="es-BO"/>
        </w:rPr>
      </w:pPr>
      <w:bookmarkStart w:id="15" w:name="_Toc471887285"/>
      <w:r>
        <w:rPr>
          <w:lang w:val="es-BO"/>
        </w:rPr>
        <w:t>9.</w:t>
      </w:r>
      <w:r>
        <w:rPr>
          <w:lang w:val="es-BO"/>
        </w:rPr>
        <w:tab/>
      </w:r>
      <w:r w:rsidR="000A3C5C" w:rsidRPr="0085268C">
        <w:rPr>
          <w:lang w:val="es-BO"/>
        </w:rPr>
        <w:t>Modalidades</w:t>
      </w:r>
      <w:r w:rsidR="001D19AE" w:rsidRPr="0085268C">
        <w:rPr>
          <w:lang w:val="es-BO"/>
        </w:rPr>
        <w:t xml:space="preserve"> de </w:t>
      </w:r>
      <w:r w:rsidR="006E3035" w:rsidRPr="0085268C">
        <w:rPr>
          <w:lang w:val="es-BO"/>
        </w:rPr>
        <w:t>Atención</w:t>
      </w:r>
      <w:r w:rsidR="008335CF" w:rsidRPr="0085268C">
        <w:rPr>
          <w:lang w:val="es-BO"/>
        </w:rPr>
        <w:t xml:space="preserve"> y de Proyectos </w:t>
      </w:r>
      <w:r w:rsidR="0085268C">
        <w:rPr>
          <w:lang w:val="es-BO"/>
        </w:rPr>
        <w:t>para aplicar al FONUCyT</w:t>
      </w:r>
      <w:bookmarkEnd w:id="15"/>
    </w:p>
    <w:p w:rsidR="001D19AE" w:rsidRPr="00526208" w:rsidRDefault="001D19AE" w:rsidP="001D19AE">
      <w:pPr>
        <w:spacing w:after="0" w:line="240" w:lineRule="auto"/>
        <w:ind w:left="360"/>
        <w:rPr>
          <w:rFonts w:ascii="Arial" w:hAnsi="Arial" w:cs="Arial"/>
          <w:sz w:val="24"/>
          <w:szCs w:val="24"/>
          <w:lang w:val="es-BO"/>
        </w:rPr>
      </w:pPr>
    </w:p>
    <w:p w:rsidR="006E3035" w:rsidRPr="00526208" w:rsidRDefault="006E3035" w:rsidP="006E3035">
      <w:pPr>
        <w:spacing w:after="0" w:line="240" w:lineRule="auto"/>
        <w:jc w:val="both"/>
        <w:rPr>
          <w:rFonts w:ascii="Arial" w:hAnsi="Arial" w:cs="Arial"/>
          <w:sz w:val="24"/>
          <w:szCs w:val="24"/>
          <w:lang w:val="es-BO"/>
        </w:rPr>
      </w:pPr>
      <w:r w:rsidRPr="00526208">
        <w:rPr>
          <w:rFonts w:ascii="Arial" w:hAnsi="Arial" w:cs="Arial"/>
          <w:sz w:val="24"/>
          <w:szCs w:val="24"/>
          <w:lang w:val="es-BO"/>
        </w:rPr>
        <w:t>Los apoyos y financiamientos previstos con el FON</w:t>
      </w:r>
      <w:r w:rsidR="00241145">
        <w:rPr>
          <w:rFonts w:ascii="Arial" w:hAnsi="Arial" w:cs="Arial"/>
          <w:sz w:val="24"/>
          <w:szCs w:val="24"/>
          <w:lang w:val="es-BO"/>
        </w:rPr>
        <w:t>U</w:t>
      </w:r>
      <w:r w:rsidRPr="00526208">
        <w:rPr>
          <w:rFonts w:ascii="Arial" w:hAnsi="Arial" w:cs="Arial"/>
          <w:sz w:val="24"/>
          <w:szCs w:val="24"/>
          <w:lang w:val="es-BO"/>
        </w:rPr>
        <w:t>CyT, a través de los diferentes programas, se realizará en dos modalidades</w:t>
      </w:r>
      <w:r w:rsidR="008335CF" w:rsidRPr="00526208">
        <w:rPr>
          <w:rFonts w:ascii="Arial" w:hAnsi="Arial" w:cs="Arial"/>
          <w:sz w:val="24"/>
          <w:szCs w:val="24"/>
          <w:lang w:val="es-BO"/>
        </w:rPr>
        <w:t xml:space="preserve"> de atención</w:t>
      </w:r>
      <w:r w:rsidRPr="00526208">
        <w:rPr>
          <w:rFonts w:ascii="Arial" w:hAnsi="Arial" w:cs="Arial"/>
          <w:sz w:val="24"/>
          <w:szCs w:val="24"/>
          <w:lang w:val="es-BO"/>
        </w:rPr>
        <w:t>:</w:t>
      </w:r>
    </w:p>
    <w:p w:rsidR="006E3035" w:rsidRPr="00526208" w:rsidRDefault="006E3035" w:rsidP="006E3035">
      <w:pPr>
        <w:spacing w:after="0" w:line="240" w:lineRule="auto"/>
        <w:jc w:val="both"/>
        <w:rPr>
          <w:rFonts w:ascii="Arial" w:hAnsi="Arial" w:cs="Arial"/>
          <w:sz w:val="24"/>
          <w:szCs w:val="24"/>
          <w:lang w:val="es-BO"/>
        </w:rPr>
      </w:pPr>
    </w:p>
    <w:p w:rsidR="006E3035" w:rsidRPr="00526208" w:rsidRDefault="006E3035" w:rsidP="004C1048">
      <w:pPr>
        <w:pStyle w:val="Prrafodelista"/>
        <w:numPr>
          <w:ilvl w:val="0"/>
          <w:numId w:val="12"/>
        </w:numPr>
        <w:spacing w:after="0" w:line="240" w:lineRule="auto"/>
        <w:jc w:val="both"/>
        <w:rPr>
          <w:rFonts w:ascii="Arial" w:hAnsi="Arial" w:cs="Arial"/>
          <w:sz w:val="24"/>
          <w:szCs w:val="24"/>
          <w:lang w:val="es-BO"/>
        </w:rPr>
      </w:pPr>
      <w:r w:rsidRPr="00526208">
        <w:rPr>
          <w:rFonts w:ascii="Arial" w:hAnsi="Arial" w:cs="Arial"/>
          <w:b/>
          <w:sz w:val="24"/>
          <w:szCs w:val="24"/>
          <w:lang w:val="es-BO"/>
        </w:rPr>
        <w:t xml:space="preserve">Convocatorias públicas, </w:t>
      </w:r>
      <w:r w:rsidR="00686357" w:rsidRPr="00526208">
        <w:rPr>
          <w:rFonts w:ascii="Arial" w:hAnsi="Arial" w:cs="Arial"/>
          <w:sz w:val="24"/>
          <w:szCs w:val="24"/>
          <w:lang w:val="es-BO"/>
        </w:rPr>
        <w:t>l</w:t>
      </w:r>
      <w:r w:rsidRPr="00526208">
        <w:rPr>
          <w:rFonts w:ascii="Arial" w:hAnsi="Arial" w:cs="Arial"/>
          <w:sz w:val="24"/>
          <w:szCs w:val="24"/>
          <w:lang w:val="es-BO"/>
        </w:rPr>
        <w:t>as condiciones y requisitos para la selección de los apoyos otorgados se señalarán en los términos de referencia y bases de convocatoria. Las convocatorias se publicarán</w:t>
      </w:r>
      <w:r w:rsidR="00241145">
        <w:rPr>
          <w:rFonts w:ascii="Arial" w:hAnsi="Arial" w:cs="Arial"/>
          <w:sz w:val="24"/>
          <w:szCs w:val="24"/>
          <w:lang w:val="es-BO"/>
        </w:rPr>
        <w:t xml:space="preserve"> en la página internet del SUII</w:t>
      </w:r>
      <w:r w:rsidRPr="00526208">
        <w:rPr>
          <w:rFonts w:ascii="Arial" w:hAnsi="Arial" w:cs="Arial"/>
          <w:sz w:val="24"/>
          <w:szCs w:val="24"/>
          <w:lang w:val="es-BO"/>
        </w:rPr>
        <w:t>. Los plazos para la emisión de convocatorias varían de acuerdo a las es</w:t>
      </w:r>
      <w:r w:rsidR="00686357" w:rsidRPr="00526208">
        <w:rPr>
          <w:rFonts w:ascii="Arial" w:hAnsi="Arial" w:cs="Arial"/>
          <w:sz w:val="24"/>
          <w:szCs w:val="24"/>
          <w:lang w:val="es-BO"/>
        </w:rPr>
        <w:t>pecificaciones de cada Programa, así como los montos a ser ofertados en cada convocatoria.</w:t>
      </w:r>
    </w:p>
    <w:p w:rsidR="00686357" w:rsidRPr="00526208" w:rsidRDefault="00686357" w:rsidP="00686357">
      <w:pPr>
        <w:pStyle w:val="Prrafodelista"/>
        <w:spacing w:after="0" w:line="240" w:lineRule="auto"/>
        <w:jc w:val="both"/>
        <w:rPr>
          <w:rFonts w:ascii="Arial" w:hAnsi="Arial" w:cs="Arial"/>
          <w:sz w:val="24"/>
          <w:szCs w:val="24"/>
          <w:lang w:val="es-BO"/>
        </w:rPr>
      </w:pPr>
    </w:p>
    <w:p w:rsidR="00B141F8" w:rsidRPr="00526208" w:rsidRDefault="00686357" w:rsidP="004C1048">
      <w:pPr>
        <w:pStyle w:val="Prrafodelista"/>
        <w:numPr>
          <w:ilvl w:val="0"/>
          <w:numId w:val="12"/>
        </w:numPr>
        <w:spacing w:after="0" w:line="240" w:lineRule="auto"/>
        <w:jc w:val="both"/>
        <w:rPr>
          <w:rFonts w:ascii="Arial" w:hAnsi="Arial" w:cs="Arial"/>
          <w:sz w:val="24"/>
          <w:szCs w:val="24"/>
          <w:lang w:val="es-BO"/>
        </w:rPr>
      </w:pPr>
      <w:r w:rsidRPr="00526208">
        <w:rPr>
          <w:rFonts w:ascii="Arial" w:hAnsi="Arial" w:cs="Arial"/>
          <w:b/>
          <w:sz w:val="24"/>
          <w:szCs w:val="24"/>
          <w:lang w:val="es-BO"/>
        </w:rPr>
        <w:t>Atención en Ventanilla</w:t>
      </w:r>
      <w:r w:rsidRPr="00526208">
        <w:rPr>
          <w:rFonts w:ascii="Arial" w:hAnsi="Arial" w:cs="Arial"/>
          <w:sz w:val="24"/>
          <w:szCs w:val="24"/>
          <w:lang w:val="es-BO"/>
        </w:rPr>
        <w:t xml:space="preserve">, </w:t>
      </w:r>
      <w:r w:rsidR="00B141F8" w:rsidRPr="00526208">
        <w:rPr>
          <w:rFonts w:ascii="Arial" w:hAnsi="Arial" w:cs="Arial"/>
          <w:sz w:val="24"/>
          <w:szCs w:val="24"/>
          <w:lang w:val="es-BO"/>
        </w:rPr>
        <w:t>esta modalidad permitirá atender requerimientos especiales para los diferentes fondos, pero que no están contempladas en la modalidad de convocatorias. Se denomina de “Ventanilla” porque podrá ser presentado en cualquier momento y su trámite de aprobación seguirá los mismos pasos que para las convocatorias. La aprobación de financiamiento por esta modalidad debe estar enmarcada en las políticas nacionales, políticas del plan, prioridades nacionales y sectores estratégicos. Esta modalidad de atención debe realizar</w:t>
      </w:r>
      <w:r w:rsidR="008335CF" w:rsidRPr="00526208">
        <w:rPr>
          <w:rFonts w:ascii="Arial" w:hAnsi="Arial" w:cs="Arial"/>
          <w:sz w:val="24"/>
          <w:szCs w:val="24"/>
          <w:lang w:val="es-BO"/>
        </w:rPr>
        <w:t>se a través de la WEB del S</w:t>
      </w:r>
      <w:r w:rsidR="00241145">
        <w:rPr>
          <w:rFonts w:ascii="Arial" w:hAnsi="Arial" w:cs="Arial"/>
          <w:sz w:val="24"/>
          <w:szCs w:val="24"/>
          <w:lang w:val="es-BO"/>
        </w:rPr>
        <w:t>UII</w:t>
      </w:r>
      <w:r w:rsidR="008335CF" w:rsidRPr="00526208">
        <w:rPr>
          <w:rFonts w:ascii="Arial" w:hAnsi="Arial" w:cs="Arial"/>
          <w:sz w:val="24"/>
          <w:szCs w:val="24"/>
          <w:lang w:val="es-BO"/>
        </w:rPr>
        <w:t>, aplicando para ello formularios prediseñados.</w:t>
      </w:r>
    </w:p>
    <w:p w:rsidR="00B141F8" w:rsidRPr="00526208" w:rsidRDefault="00B141F8" w:rsidP="00B141F8">
      <w:pPr>
        <w:pStyle w:val="Prrafodelista"/>
        <w:rPr>
          <w:rFonts w:ascii="Arial" w:hAnsi="Arial" w:cs="Arial"/>
          <w:sz w:val="24"/>
          <w:szCs w:val="24"/>
          <w:lang w:val="es-BO"/>
        </w:rPr>
      </w:pPr>
    </w:p>
    <w:p w:rsidR="001D19AE" w:rsidRPr="00526208" w:rsidRDefault="001D19AE" w:rsidP="001D19AE">
      <w:pPr>
        <w:spacing w:after="0" w:line="240" w:lineRule="auto"/>
        <w:rPr>
          <w:rFonts w:ascii="Arial" w:hAnsi="Arial" w:cs="Arial"/>
          <w:sz w:val="24"/>
          <w:szCs w:val="24"/>
          <w:lang w:val="es-BO"/>
        </w:rPr>
      </w:pPr>
      <w:r w:rsidRPr="00526208">
        <w:rPr>
          <w:rFonts w:ascii="Arial" w:hAnsi="Arial" w:cs="Arial"/>
          <w:sz w:val="24"/>
          <w:szCs w:val="24"/>
          <w:lang w:val="es-BO"/>
        </w:rPr>
        <w:t xml:space="preserve">Las modalidades </w:t>
      </w:r>
      <w:r w:rsidR="008335CF" w:rsidRPr="00526208">
        <w:rPr>
          <w:rFonts w:ascii="Arial" w:hAnsi="Arial" w:cs="Arial"/>
          <w:sz w:val="24"/>
          <w:szCs w:val="24"/>
          <w:lang w:val="es-BO"/>
        </w:rPr>
        <w:t>de proyectos que financiará son:</w:t>
      </w:r>
    </w:p>
    <w:p w:rsidR="004D44E3" w:rsidRPr="00526208" w:rsidRDefault="004D44E3" w:rsidP="001D19AE">
      <w:pPr>
        <w:spacing w:after="0" w:line="240" w:lineRule="auto"/>
        <w:rPr>
          <w:rFonts w:ascii="Arial" w:hAnsi="Arial" w:cs="Arial"/>
          <w:sz w:val="24"/>
          <w:szCs w:val="24"/>
          <w:lang w:val="es-BO"/>
        </w:rPr>
      </w:pPr>
    </w:p>
    <w:p w:rsidR="000A3C5C" w:rsidRPr="00526208" w:rsidRDefault="000A3C5C" w:rsidP="004C1048">
      <w:pPr>
        <w:pStyle w:val="Prrafodelista"/>
        <w:numPr>
          <w:ilvl w:val="0"/>
          <w:numId w:val="7"/>
        </w:numPr>
        <w:spacing w:after="0" w:line="240" w:lineRule="auto"/>
        <w:rPr>
          <w:rFonts w:ascii="Arial" w:hAnsi="Arial" w:cs="Arial"/>
          <w:sz w:val="24"/>
          <w:szCs w:val="24"/>
          <w:lang w:val="es-BO"/>
        </w:rPr>
      </w:pPr>
      <w:r w:rsidRPr="00526208">
        <w:rPr>
          <w:rFonts w:ascii="Arial" w:hAnsi="Arial" w:cs="Arial"/>
          <w:sz w:val="24"/>
          <w:szCs w:val="24"/>
          <w:lang w:val="es-BO"/>
        </w:rPr>
        <w:t>Investigación científica y tecnológica, básica y aplicada.</w:t>
      </w:r>
    </w:p>
    <w:p w:rsidR="000A3C5C" w:rsidRPr="00526208" w:rsidRDefault="000A3C5C" w:rsidP="004C1048">
      <w:pPr>
        <w:pStyle w:val="Prrafodelista"/>
        <w:numPr>
          <w:ilvl w:val="0"/>
          <w:numId w:val="7"/>
        </w:numPr>
        <w:spacing w:after="0" w:line="240" w:lineRule="auto"/>
        <w:rPr>
          <w:rFonts w:ascii="Arial" w:hAnsi="Arial" w:cs="Arial"/>
          <w:sz w:val="24"/>
          <w:szCs w:val="24"/>
          <w:lang w:val="es-BO"/>
        </w:rPr>
      </w:pPr>
      <w:r w:rsidRPr="00526208">
        <w:rPr>
          <w:rFonts w:ascii="Arial" w:hAnsi="Arial" w:cs="Arial"/>
          <w:sz w:val="24"/>
          <w:szCs w:val="24"/>
          <w:lang w:val="es-BO"/>
        </w:rPr>
        <w:t>Desarrollo tecnológico e innovación.</w:t>
      </w:r>
    </w:p>
    <w:p w:rsidR="000A3C5C" w:rsidRPr="00526208" w:rsidRDefault="000A3C5C" w:rsidP="004C1048">
      <w:pPr>
        <w:pStyle w:val="Prrafodelista"/>
        <w:numPr>
          <w:ilvl w:val="0"/>
          <w:numId w:val="7"/>
        </w:numPr>
        <w:spacing w:after="0" w:line="240" w:lineRule="auto"/>
        <w:rPr>
          <w:rFonts w:ascii="Arial" w:hAnsi="Arial" w:cs="Arial"/>
          <w:sz w:val="24"/>
          <w:szCs w:val="24"/>
          <w:lang w:val="es-BO"/>
        </w:rPr>
      </w:pPr>
      <w:r w:rsidRPr="00526208">
        <w:rPr>
          <w:rFonts w:ascii="Arial" w:hAnsi="Arial" w:cs="Arial"/>
          <w:sz w:val="24"/>
          <w:szCs w:val="24"/>
          <w:lang w:val="es-BO"/>
        </w:rPr>
        <w:t>Formación de capital humano especializado.</w:t>
      </w:r>
    </w:p>
    <w:p w:rsidR="0078407B" w:rsidRPr="00526208" w:rsidRDefault="0078407B" w:rsidP="004C1048">
      <w:pPr>
        <w:pStyle w:val="Prrafodelista"/>
        <w:numPr>
          <w:ilvl w:val="0"/>
          <w:numId w:val="7"/>
        </w:numPr>
        <w:spacing w:after="0" w:line="240" w:lineRule="auto"/>
        <w:rPr>
          <w:rFonts w:ascii="Arial" w:hAnsi="Arial" w:cs="Arial"/>
          <w:sz w:val="24"/>
          <w:szCs w:val="24"/>
          <w:lang w:val="es-BO"/>
        </w:rPr>
      </w:pPr>
      <w:r w:rsidRPr="00526208">
        <w:rPr>
          <w:rFonts w:ascii="Arial" w:hAnsi="Arial" w:cs="Arial"/>
          <w:sz w:val="24"/>
          <w:szCs w:val="24"/>
          <w:lang w:val="es-BO"/>
        </w:rPr>
        <w:t>Creación de nuevas empresas con base tecnológica y modernización tecnológica de las existentes.</w:t>
      </w:r>
    </w:p>
    <w:p w:rsidR="000A3C5C" w:rsidRPr="00526208" w:rsidRDefault="000A3C5C" w:rsidP="004C1048">
      <w:pPr>
        <w:pStyle w:val="Prrafodelista"/>
        <w:numPr>
          <w:ilvl w:val="0"/>
          <w:numId w:val="7"/>
        </w:numPr>
        <w:spacing w:after="0" w:line="240" w:lineRule="auto"/>
        <w:rPr>
          <w:rFonts w:ascii="Arial" w:hAnsi="Arial" w:cs="Arial"/>
          <w:sz w:val="24"/>
          <w:szCs w:val="24"/>
          <w:lang w:val="es-BO"/>
        </w:rPr>
      </w:pPr>
      <w:r w:rsidRPr="00526208">
        <w:rPr>
          <w:rFonts w:ascii="Arial" w:hAnsi="Arial" w:cs="Arial"/>
          <w:sz w:val="24"/>
          <w:szCs w:val="24"/>
          <w:lang w:val="es-BO"/>
        </w:rPr>
        <w:t>Creación y fortalecimiento de infraestructura científica y tecnológica.</w:t>
      </w:r>
    </w:p>
    <w:p w:rsidR="000A3C5C" w:rsidRPr="00526208" w:rsidRDefault="000A3C5C" w:rsidP="004C1048">
      <w:pPr>
        <w:pStyle w:val="Prrafodelista"/>
        <w:numPr>
          <w:ilvl w:val="0"/>
          <w:numId w:val="7"/>
        </w:numPr>
        <w:spacing w:after="0" w:line="240" w:lineRule="auto"/>
        <w:rPr>
          <w:rFonts w:ascii="Arial" w:hAnsi="Arial" w:cs="Arial"/>
          <w:sz w:val="24"/>
          <w:szCs w:val="24"/>
          <w:lang w:val="es-BO"/>
        </w:rPr>
      </w:pPr>
      <w:r w:rsidRPr="00526208">
        <w:rPr>
          <w:rFonts w:ascii="Arial" w:hAnsi="Arial" w:cs="Arial"/>
          <w:sz w:val="24"/>
          <w:szCs w:val="24"/>
          <w:lang w:val="es-BO"/>
        </w:rPr>
        <w:t>Planeación, difusión y divulgación.</w:t>
      </w:r>
    </w:p>
    <w:p w:rsidR="000A3C5C" w:rsidRPr="00526208" w:rsidRDefault="000A3C5C" w:rsidP="004C1048">
      <w:pPr>
        <w:pStyle w:val="Prrafodelista"/>
        <w:numPr>
          <w:ilvl w:val="0"/>
          <w:numId w:val="7"/>
        </w:numPr>
        <w:spacing w:after="0" w:line="240" w:lineRule="auto"/>
        <w:rPr>
          <w:rFonts w:ascii="Arial" w:hAnsi="Arial" w:cs="Arial"/>
          <w:sz w:val="24"/>
          <w:szCs w:val="24"/>
          <w:lang w:val="es-BO"/>
        </w:rPr>
      </w:pPr>
      <w:r w:rsidRPr="00526208">
        <w:rPr>
          <w:rFonts w:ascii="Arial" w:hAnsi="Arial" w:cs="Arial"/>
          <w:sz w:val="24"/>
          <w:szCs w:val="24"/>
          <w:lang w:val="es-BO"/>
        </w:rPr>
        <w:t xml:space="preserve">Demás modalidades de apoyo que se deriven del Programa </w:t>
      </w:r>
      <w:r w:rsidR="00241145">
        <w:rPr>
          <w:rFonts w:ascii="Arial" w:hAnsi="Arial" w:cs="Arial"/>
          <w:sz w:val="24"/>
          <w:szCs w:val="24"/>
          <w:lang w:val="es-BO"/>
        </w:rPr>
        <w:t>Estratégico de Generación de Conocimiento</w:t>
      </w:r>
      <w:r w:rsidRPr="00526208">
        <w:rPr>
          <w:rFonts w:ascii="Arial" w:hAnsi="Arial" w:cs="Arial"/>
          <w:sz w:val="24"/>
          <w:szCs w:val="24"/>
          <w:lang w:val="es-BO"/>
        </w:rPr>
        <w:t>.</w:t>
      </w:r>
    </w:p>
    <w:p w:rsidR="000A3C5C" w:rsidRPr="00526208" w:rsidRDefault="000A3C5C" w:rsidP="004C1048">
      <w:pPr>
        <w:pStyle w:val="Prrafodelista"/>
        <w:numPr>
          <w:ilvl w:val="0"/>
          <w:numId w:val="7"/>
        </w:numPr>
        <w:spacing w:after="0" w:line="240" w:lineRule="auto"/>
        <w:rPr>
          <w:rFonts w:ascii="Arial" w:hAnsi="Arial" w:cs="Arial"/>
          <w:sz w:val="24"/>
          <w:szCs w:val="24"/>
          <w:lang w:val="es-BO"/>
        </w:rPr>
      </w:pPr>
      <w:r w:rsidRPr="00526208">
        <w:rPr>
          <w:rFonts w:ascii="Arial" w:hAnsi="Arial" w:cs="Arial"/>
          <w:sz w:val="24"/>
          <w:szCs w:val="24"/>
          <w:lang w:val="es-BO"/>
        </w:rPr>
        <w:t xml:space="preserve">Las necesarias para el cumplimiento del objeto del </w:t>
      </w:r>
      <w:r w:rsidR="00A85A04" w:rsidRPr="00526208">
        <w:rPr>
          <w:rFonts w:ascii="Arial" w:hAnsi="Arial" w:cs="Arial"/>
          <w:sz w:val="24"/>
          <w:szCs w:val="24"/>
          <w:lang w:val="es-BO"/>
        </w:rPr>
        <w:t>FON</w:t>
      </w:r>
      <w:r w:rsidR="00241145">
        <w:rPr>
          <w:rFonts w:ascii="Arial" w:hAnsi="Arial" w:cs="Arial"/>
          <w:sz w:val="24"/>
          <w:szCs w:val="24"/>
          <w:lang w:val="es-BO"/>
        </w:rPr>
        <w:t>U</w:t>
      </w:r>
      <w:r w:rsidR="00A85A04" w:rsidRPr="00526208">
        <w:rPr>
          <w:rFonts w:ascii="Arial" w:hAnsi="Arial" w:cs="Arial"/>
          <w:sz w:val="24"/>
          <w:szCs w:val="24"/>
          <w:lang w:val="es-BO"/>
        </w:rPr>
        <w:t>CyT</w:t>
      </w:r>
      <w:r w:rsidRPr="00526208">
        <w:rPr>
          <w:rFonts w:ascii="Arial" w:hAnsi="Arial" w:cs="Arial"/>
          <w:sz w:val="24"/>
          <w:szCs w:val="24"/>
          <w:lang w:val="es-BO"/>
        </w:rPr>
        <w:t>.</w:t>
      </w:r>
    </w:p>
    <w:p w:rsidR="000A3C5C" w:rsidRPr="00526208" w:rsidRDefault="000A3C5C" w:rsidP="000A3C5C">
      <w:pPr>
        <w:spacing w:after="0" w:line="240" w:lineRule="auto"/>
        <w:rPr>
          <w:rFonts w:ascii="Arial" w:hAnsi="Arial" w:cs="Arial"/>
          <w:sz w:val="24"/>
          <w:szCs w:val="24"/>
          <w:lang w:val="es-BO"/>
        </w:rPr>
      </w:pPr>
    </w:p>
    <w:p w:rsidR="001832CE" w:rsidRPr="00526208" w:rsidRDefault="001832CE" w:rsidP="000A3C5C">
      <w:pPr>
        <w:spacing w:after="0" w:line="240" w:lineRule="auto"/>
        <w:rPr>
          <w:rFonts w:ascii="Arial" w:hAnsi="Arial" w:cs="Arial"/>
          <w:sz w:val="24"/>
          <w:szCs w:val="24"/>
          <w:lang w:val="es-BO"/>
        </w:rPr>
      </w:pPr>
    </w:p>
    <w:p w:rsidR="001F68DD" w:rsidRPr="0085268C" w:rsidRDefault="0085268C" w:rsidP="005D4EDD">
      <w:pPr>
        <w:pStyle w:val="Ttulo1"/>
        <w:ind w:left="284" w:hanging="284"/>
        <w:rPr>
          <w:lang w:val="es-BO"/>
        </w:rPr>
      </w:pPr>
      <w:bookmarkStart w:id="16" w:name="_Toc471887286"/>
      <w:r>
        <w:rPr>
          <w:lang w:val="es-BO"/>
        </w:rPr>
        <w:t xml:space="preserve">10. </w:t>
      </w:r>
      <w:r w:rsidR="001F68DD" w:rsidRPr="0085268C">
        <w:rPr>
          <w:lang w:val="es-BO"/>
        </w:rPr>
        <w:t xml:space="preserve">Sistema de </w:t>
      </w:r>
      <w:r w:rsidR="00C74F4B">
        <w:rPr>
          <w:lang w:val="es-BO"/>
        </w:rPr>
        <w:t>Evaluación de Proyectos con recursos del</w:t>
      </w:r>
      <w:r>
        <w:rPr>
          <w:lang w:val="es-BO"/>
        </w:rPr>
        <w:t xml:space="preserve"> FONU</w:t>
      </w:r>
      <w:r w:rsidR="001F68DD" w:rsidRPr="0085268C">
        <w:rPr>
          <w:lang w:val="es-BO"/>
        </w:rPr>
        <w:t>CyT</w:t>
      </w:r>
      <w:bookmarkEnd w:id="16"/>
    </w:p>
    <w:p w:rsidR="001F68DD" w:rsidRPr="00526208" w:rsidRDefault="001F68DD" w:rsidP="001F68DD">
      <w:pPr>
        <w:spacing w:after="0" w:line="240" w:lineRule="auto"/>
        <w:jc w:val="both"/>
        <w:rPr>
          <w:rFonts w:ascii="Arial" w:hAnsi="Arial" w:cs="Arial"/>
          <w:sz w:val="24"/>
          <w:szCs w:val="24"/>
          <w:lang w:val="es-BO"/>
        </w:rPr>
      </w:pPr>
    </w:p>
    <w:p w:rsidR="00E1240C" w:rsidRPr="00526208" w:rsidRDefault="001F68DD" w:rsidP="00E1240C">
      <w:pPr>
        <w:pStyle w:val="Default"/>
        <w:jc w:val="both"/>
        <w:rPr>
          <w:lang w:val="es-BO"/>
        </w:rPr>
      </w:pPr>
      <w:r w:rsidRPr="00526208">
        <w:rPr>
          <w:lang w:val="es-BO"/>
        </w:rPr>
        <w:t>L</w:t>
      </w:r>
      <w:r w:rsidR="009469C4" w:rsidRPr="00526208">
        <w:rPr>
          <w:lang w:val="es-BO"/>
        </w:rPr>
        <w:t>os proyectos presentados en las</w:t>
      </w:r>
      <w:r w:rsidRPr="00526208">
        <w:rPr>
          <w:lang w:val="es-BO"/>
        </w:rPr>
        <w:t xml:space="preserve"> convocatoria</w:t>
      </w:r>
      <w:r w:rsidR="009469C4" w:rsidRPr="00526208">
        <w:rPr>
          <w:lang w:val="es-BO"/>
        </w:rPr>
        <w:t>s</w:t>
      </w:r>
      <w:r w:rsidRPr="00526208">
        <w:rPr>
          <w:lang w:val="es-BO"/>
        </w:rPr>
        <w:t xml:space="preserve"> </w:t>
      </w:r>
      <w:r w:rsidR="009469C4" w:rsidRPr="00526208">
        <w:rPr>
          <w:lang w:val="es-BO"/>
        </w:rPr>
        <w:t xml:space="preserve">y a través de la ventanilla permanente </w:t>
      </w:r>
      <w:r w:rsidRPr="00526208">
        <w:rPr>
          <w:lang w:val="es-BO"/>
        </w:rPr>
        <w:t xml:space="preserve">deberán cumplir en primera instancia con la etapa de </w:t>
      </w:r>
      <w:r w:rsidRPr="00526208">
        <w:rPr>
          <w:bCs/>
          <w:iCs/>
          <w:lang w:val="es-BO"/>
        </w:rPr>
        <w:t>procesabilidad</w:t>
      </w:r>
      <w:r w:rsidRPr="00526208">
        <w:rPr>
          <w:lang w:val="es-BO"/>
        </w:rPr>
        <w:t xml:space="preserve">. Luego se verificará, de aquellos proyectos declarados procesables, el cumplimiento de los requisitos que constituyen </w:t>
      </w:r>
      <w:r w:rsidRPr="00526208">
        <w:rPr>
          <w:lang w:val="es-BO"/>
        </w:rPr>
        <w:lastRenderedPageBreak/>
        <w:t xml:space="preserve">los </w:t>
      </w:r>
      <w:r w:rsidRPr="00526208">
        <w:rPr>
          <w:bCs/>
          <w:iCs/>
          <w:lang w:val="es-BO"/>
        </w:rPr>
        <w:t xml:space="preserve">criterios de admisibilidad. </w:t>
      </w:r>
      <w:r w:rsidRPr="00526208">
        <w:rPr>
          <w:lang w:val="es-BO"/>
        </w:rPr>
        <w:t>A continuación</w:t>
      </w:r>
      <w:r w:rsidR="00E1240C" w:rsidRPr="00526208">
        <w:rPr>
          <w:lang w:val="es-BO"/>
        </w:rPr>
        <w:t>,</w:t>
      </w:r>
      <w:r w:rsidRPr="00526208">
        <w:rPr>
          <w:lang w:val="es-BO"/>
        </w:rPr>
        <w:t xml:space="preserve"> se determinará la condición </w:t>
      </w:r>
      <w:r w:rsidR="00C74F4B">
        <w:rPr>
          <w:lang w:val="es-BO"/>
        </w:rPr>
        <w:t>de sujetos de apoyo del FONU</w:t>
      </w:r>
      <w:r w:rsidR="00E1240C" w:rsidRPr="00526208">
        <w:rPr>
          <w:lang w:val="es-BO"/>
        </w:rPr>
        <w:t>CyT,</w:t>
      </w:r>
      <w:r w:rsidRPr="00526208">
        <w:rPr>
          <w:lang w:val="es-BO"/>
        </w:rPr>
        <w:t xml:space="preserve"> investigadores formados y activos</w:t>
      </w:r>
      <w:r w:rsidR="00E1240C" w:rsidRPr="00526208">
        <w:rPr>
          <w:lang w:val="es-BO"/>
        </w:rPr>
        <w:t>, así como la calidad del Grupo Responsable del proyecto</w:t>
      </w:r>
      <w:r w:rsidR="00C74F4B">
        <w:rPr>
          <w:lang w:val="es-BO"/>
        </w:rPr>
        <w:t xml:space="preserve"> o Red</w:t>
      </w:r>
      <w:r w:rsidR="00E1240C" w:rsidRPr="00526208">
        <w:rPr>
          <w:lang w:val="es-BO"/>
        </w:rPr>
        <w:t>, es decir, la</w:t>
      </w:r>
      <w:r w:rsidRPr="00526208">
        <w:rPr>
          <w:lang w:val="es-BO"/>
        </w:rPr>
        <w:t xml:space="preserve"> </w:t>
      </w:r>
      <w:r w:rsidRPr="00526208">
        <w:rPr>
          <w:bCs/>
          <w:iCs/>
          <w:lang w:val="es-BO"/>
        </w:rPr>
        <w:t>acreditación curricular</w:t>
      </w:r>
      <w:r w:rsidRPr="00526208">
        <w:rPr>
          <w:lang w:val="es-BO"/>
        </w:rPr>
        <w:t>.</w:t>
      </w:r>
    </w:p>
    <w:p w:rsidR="00E1240C" w:rsidRPr="00526208" w:rsidRDefault="001F68DD" w:rsidP="00E1240C">
      <w:pPr>
        <w:pStyle w:val="Default"/>
        <w:jc w:val="both"/>
        <w:rPr>
          <w:lang w:val="es-BO"/>
        </w:rPr>
      </w:pPr>
      <w:r w:rsidRPr="00526208">
        <w:rPr>
          <w:lang w:val="es-BO"/>
        </w:rPr>
        <w:t xml:space="preserve"> </w:t>
      </w:r>
      <w:r w:rsidR="00E1240C" w:rsidRPr="00526208">
        <w:rPr>
          <w:lang w:val="es-BO"/>
        </w:rPr>
        <w:t xml:space="preserve"> </w:t>
      </w:r>
    </w:p>
    <w:p w:rsidR="001F68DD" w:rsidRPr="00526208" w:rsidRDefault="001F68DD" w:rsidP="00E1240C">
      <w:pPr>
        <w:pStyle w:val="Default"/>
        <w:jc w:val="both"/>
        <w:rPr>
          <w:lang w:val="es-BO"/>
        </w:rPr>
      </w:pPr>
      <w:r w:rsidRPr="00526208">
        <w:rPr>
          <w:lang w:val="es-BO"/>
        </w:rPr>
        <w:t xml:space="preserve">Cumplidas estas etapas, los proyectos acreditados serán enviados a pares para la evaluación de su </w:t>
      </w:r>
      <w:r w:rsidRPr="00526208">
        <w:rPr>
          <w:bCs/>
          <w:iCs/>
          <w:lang w:val="es-BO"/>
        </w:rPr>
        <w:t>calidad científico-tecnológica</w:t>
      </w:r>
      <w:r w:rsidRPr="00526208">
        <w:rPr>
          <w:lang w:val="es-BO"/>
        </w:rPr>
        <w:t xml:space="preserve">. </w:t>
      </w:r>
    </w:p>
    <w:p w:rsidR="00E1240C" w:rsidRPr="00526208" w:rsidRDefault="00E1240C" w:rsidP="00E1240C">
      <w:pPr>
        <w:pStyle w:val="Default"/>
        <w:jc w:val="both"/>
        <w:rPr>
          <w:lang w:val="es-BO"/>
        </w:rPr>
      </w:pPr>
    </w:p>
    <w:p w:rsidR="001F68DD" w:rsidRPr="00526208" w:rsidRDefault="001F68DD" w:rsidP="009469C4">
      <w:pPr>
        <w:pStyle w:val="Default"/>
        <w:jc w:val="both"/>
        <w:rPr>
          <w:lang w:val="es-BO"/>
        </w:rPr>
      </w:pPr>
      <w:r w:rsidRPr="00526208">
        <w:rPr>
          <w:lang w:val="es-BO"/>
        </w:rPr>
        <w:t xml:space="preserve">Finalmente, </w:t>
      </w:r>
      <w:r w:rsidR="00E1240C" w:rsidRPr="00526208">
        <w:rPr>
          <w:lang w:val="es-BO"/>
        </w:rPr>
        <w:t>el proyecto</w:t>
      </w:r>
      <w:r w:rsidRPr="00526208">
        <w:rPr>
          <w:lang w:val="es-BO"/>
        </w:rPr>
        <w:t xml:space="preserve"> </w:t>
      </w:r>
      <w:r w:rsidR="00E1240C" w:rsidRPr="00526208">
        <w:rPr>
          <w:lang w:val="es-BO"/>
        </w:rPr>
        <w:t>será</w:t>
      </w:r>
      <w:r w:rsidRPr="00526208">
        <w:rPr>
          <w:lang w:val="es-BO"/>
        </w:rPr>
        <w:t xml:space="preserve"> compati</w:t>
      </w:r>
      <w:r w:rsidR="00E1240C" w:rsidRPr="00526208">
        <w:rPr>
          <w:lang w:val="es-BO"/>
        </w:rPr>
        <w:t>bilizado</w:t>
      </w:r>
      <w:r w:rsidRPr="00526208">
        <w:rPr>
          <w:lang w:val="es-BO"/>
        </w:rPr>
        <w:t xml:space="preserve"> </w:t>
      </w:r>
      <w:r w:rsidR="009469C4" w:rsidRPr="00526208">
        <w:rPr>
          <w:lang w:val="es-BO"/>
        </w:rPr>
        <w:t xml:space="preserve">en su </w:t>
      </w:r>
      <w:r w:rsidRPr="00526208">
        <w:rPr>
          <w:lang w:val="es-BO"/>
        </w:rPr>
        <w:t xml:space="preserve">evaluación </w:t>
      </w:r>
      <w:r w:rsidR="009469C4" w:rsidRPr="00526208">
        <w:rPr>
          <w:lang w:val="es-BO"/>
        </w:rPr>
        <w:t xml:space="preserve">considerando </w:t>
      </w:r>
      <w:r w:rsidRPr="00526208">
        <w:rPr>
          <w:iCs/>
          <w:lang w:val="es-BO"/>
        </w:rPr>
        <w:t xml:space="preserve">calidad científico-tecnológica </w:t>
      </w:r>
      <w:r w:rsidR="009469C4" w:rsidRPr="00526208">
        <w:rPr>
          <w:lang w:val="es-BO"/>
        </w:rPr>
        <w:t xml:space="preserve">realizada por los pares, con la </w:t>
      </w:r>
      <w:r w:rsidRPr="00526208">
        <w:rPr>
          <w:lang w:val="es-BO"/>
        </w:rPr>
        <w:t xml:space="preserve">evaluación </w:t>
      </w:r>
      <w:r w:rsidR="009469C4" w:rsidRPr="00526208">
        <w:rPr>
          <w:lang w:val="es-BO"/>
        </w:rPr>
        <w:t>de la</w:t>
      </w:r>
      <w:r w:rsidRPr="00526208">
        <w:rPr>
          <w:lang w:val="es-BO"/>
        </w:rPr>
        <w:t xml:space="preserve"> “Capacidad Científica y Tecnológica del Grupo Responsable del proyecto</w:t>
      </w:r>
      <w:r w:rsidR="00C74F4B">
        <w:rPr>
          <w:lang w:val="es-BO"/>
        </w:rPr>
        <w:t xml:space="preserve"> o Red</w:t>
      </w:r>
      <w:r w:rsidRPr="00526208">
        <w:rPr>
          <w:lang w:val="es-BO"/>
        </w:rPr>
        <w:t xml:space="preserve">” </w:t>
      </w:r>
      <w:r w:rsidR="009469C4" w:rsidRPr="00526208">
        <w:rPr>
          <w:lang w:val="es-BO"/>
        </w:rPr>
        <w:t>y la “Pertinencia” de la ejecución del proyecto.</w:t>
      </w:r>
    </w:p>
    <w:p w:rsidR="009469C4" w:rsidRPr="00526208" w:rsidRDefault="009469C4" w:rsidP="009469C4">
      <w:pPr>
        <w:pStyle w:val="Default"/>
        <w:jc w:val="both"/>
        <w:rPr>
          <w:lang w:val="es-BO"/>
        </w:rPr>
      </w:pPr>
    </w:p>
    <w:p w:rsidR="009469C4" w:rsidRPr="00526208" w:rsidRDefault="009469C4" w:rsidP="009469C4">
      <w:pPr>
        <w:pStyle w:val="Default"/>
        <w:jc w:val="both"/>
        <w:rPr>
          <w:lang w:val="es-BO"/>
        </w:rPr>
      </w:pPr>
      <w:r w:rsidRPr="00526208">
        <w:rPr>
          <w:lang w:val="es-BO"/>
        </w:rPr>
        <w:t>A continuación, se presenta el proceso metodológico de evaluación de los proyectos del FON</w:t>
      </w:r>
      <w:r w:rsidR="00C74F4B">
        <w:rPr>
          <w:lang w:val="es-BO"/>
        </w:rPr>
        <w:t>U</w:t>
      </w:r>
      <w:r w:rsidRPr="00526208">
        <w:rPr>
          <w:lang w:val="es-BO"/>
        </w:rPr>
        <w:t>CyT:</w:t>
      </w:r>
    </w:p>
    <w:p w:rsidR="001D752D" w:rsidRDefault="001D752D">
      <w:pPr>
        <w:rPr>
          <w:rFonts w:ascii="Arial" w:hAnsi="Arial" w:cs="Arial"/>
          <w:b/>
          <w:sz w:val="24"/>
          <w:szCs w:val="24"/>
          <w:lang w:val="es-BO"/>
        </w:rPr>
      </w:pPr>
      <w:r>
        <w:rPr>
          <w:rFonts w:ascii="Arial" w:hAnsi="Arial" w:cs="Arial"/>
          <w:b/>
          <w:sz w:val="24"/>
          <w:szCs w:val="24"/>
          <w:lang w:val="es-BO"/>
        </w:rPr>
        <w:br w:type="page"/>
      </w:r>
    </w:p>
    <w:p w:rsidR="009469C4" w:rsidRPr="00526208" w:rsidRDefault="00C74F4B" w:rsidP="009469C4">
      <w:pPr>
        <w:spacing w:after="0" w:line="240" w:lineRule="auto"/>
        <w:jc w:val="center"/>
        <w:rPr>
          <w:rFonts w:ascii="Arial" w:hAnsi="Arial" w:cs="Arial"/>
          <w:b/>
          <w:sz w:val="24"/>
          <w:szCs w:val="24"/>
          <w:lang w:val="es-BO"/>
        </w:rPr>
      </w:pPr>
      <w:r>
        <w:rPr>
          <w:rFonts w:ascii="Arial" w:hAnsi="Arial" w:cs="Arial"/>
          <w:b/>
          <w:sz w:val="24"/>
          <w:szCs w:val="24"/>
          <w:lang w:val="es-BO"/>
        </w:rPr>
        <w:lastRenderedPageBreak/>
        <w:t>Figura 5</w:t>
      </w:r>
    </w:p>
    <w:p w:rsidR="00C74F4B" w:rsidRDefault="009469C4" w:rsidP="009469C4">
      <w:pPr>
        <w:spacing w:after="0" w:line="240" w:lineRule="auto"/>
        <w:jc w:val="center"/>
        <w:rPr>
          <w:rFonts w:ascii="Arial" w:hAnsi="Arial" w:cs="Arial"/>
          <w:b/>
          <w:sz w:val="24"/>
          <w:szCs w:val="24"/>
          <w:lang w:val="es-BO"/>
        </w:rPr>
      </w:pPr>
      <w:r w:rsidRPr="00526208">
        <w:rPr>
          <w:rFonts w:ascii="Arial" w:hAnsi="Arial" w:cs="Arial"/>
          <w:b/>
          <w:sz w:val="24"/>
          <w:szCs w:val="24"/>
          <w:lang w:val="es-BO"/>
        </w:rPr>
        <w:t>Proceso Metodológico para la Evaluación de Proyectos</w:t>
      </w:r>
    </w:p>
    <w:p w:rsidR="009469C4" w:rsidRPr="00526208" w:rsidRDefault="009469C4" w:rsidP="009469C4">
      <w:pPr>
        <w:spacing w:after="0" w:line="240" w:lineRule="auto"/>
        <w:jc w:val="center"/>
        <w:rPr>
          <w:rFonts w:ascii="Arial" w:hAnsi="Arial" w:cs="Arial"/>
          <w:b/>
          <w:sz w:val="24"/>
          <w:szCs w:val="24"/>
          <w:lang w:val="es-BO"/>
        </w:rPr>
      </w:pPr>
      <w:r w:rsidRPr="00526208">
        <w:rPr>
          <w:rFonts w:ascii="Arial" w:hAnsi="Arial" w:cs="Arial"/>
          <w:b/>
          <w:sz w:val="24"/>
          <w:szCs w:val="24"/>
          <w:lang w:val="es-BO"/>
        </w:rPr>
        <w:t xml:space="preserve"> </w:t>
      </w:r>
      <w:r w:rsidR="00C74F4B">
        <w:rPr>
          <w:rFonts w:ascii="Arial" w:hAnsi="Arial" w:cs="Arial"/>
          <w:b/>
          <w:sz w:val="24"/>
          <w:szCs w:val="24"/>
          <w:lang w:val="es-BO"/>
        </w:rPr>
        <w:t xml:space="preserve">con recursos del </w:t>
      </w:r>
      <w:r w:rsidRPr="00526208">
        <w:rPr>
          <w:rFonts w:ascii="Arial" w:hAnsi="Arial" w:cs="Arial"/>
          <w:b/>
          <w:sz w:val="24"/>
          <w:szCs w:val="24"/>
          <w:lang w:val="es-BO"/>
        </w:rPr>
        <w:t>F</w:t>
      </w:r>
      <w:r w:rsidR="00C74F4B">
        <w:rPr>
          <w:rFonts w:ascii="Arial" w:hAnsi="Arial" w:cs="Arial"/>
          <w:b/>
          <w:sz w:val="24"/>
          <w:szCs w:val="24"/>
          <w:lang w:val="es-BO"/>
        </w:rPr>
        <w:t>ONUCyT</w:t>
      </w:r>
    </w:p>
    <w:p w:rsidR="009469C4" w:rsidRPr="00526208" w:rsidRDefault="009469C4" w:rsidP="009469C4">
      <w:pPr>
        <w:spacing w:after="0" w:line="240" w:lineRule="auto"/>
        <w:jc w:val="center"/>
        <w:rPr>
          <w:rFonts w:ascii="Arial" w:hAnsi="Arial" w:cs="Arial"/>
          <w:b/>
          <w:sz w:val="24"/>
          <w:szCs w:val="24"/>
          <w:lang w:val="es-BO"/>
        </w:rPr>
      </w:pPr>
    </w:p>
    <w:p w:rsidR="001F68DD" w:rsidRPr="00526208" w:rsidRDefault="00F036B1" w:rsidP="009469C4">
      <w:pPr>
        <w:spacing w:after="0" w:line="240" w:lineRule="auto"/>
        <w:jc w:val="center"/>
        <w:rPr>
          <w:rFonts w:ascii="Arial" w:hAnsi="Arial" w:cs="Arial"/>
          <w:b/>
          <w:sz w:val="24"/>
          <w:szCs w:val="24"/>
          <w:lang w:val="es-BO"/>
        </w:rPr>
      </w:pPr>
      <w:r w:rsidRPr="00526208">
        <w:rPr>
          <w:rFonts w:ascii="Arial" w:hAnsi="Arial" w:cs="Arial"/>
          <w:b/>
          <w:noProof/>
          <w:sz w:val="24"/>
          <w:szCs w:val="24"/>
          <w:lang w:val="es-ES" w:eastAsia="es-ES"/>
        </w:rPr>
        <w:drawing>
          <wp:inline distT="0" distB="0" distL="0" distR="0">
            <wp:extent cx="5838825" cy="4800600"/>
            <wp:effectExtent l="57150" t="0" r="4762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469C4" w:rsidRPr="00526208" w:rsidRDefault="009469C4" w:rsidP="009469C4">
      <w:pPr>
        <w:spacing w:after="0" w:line="240" w:lineRule="auto"/>
        <w:jc w:val="center"/>
        <w:rPr>
          <w:rFonts w:ascii="Arial" w:hAnsi="Arial" w:cs="Arial"/>
          <w:b/>
          <w:sz w:val="24"/>
          <w:szCs w:val="24"/>
          <w:lang w:val="es-BO"/>
        </w:rPr>
      </w:pPr>
    </w:p>
    <w:p w:rsidR="00182732" w:rsidRPr="00526208" w:rsidRDefault="00121840">
      <w:pPr>
        <w:rPr>
          <w:rFonts w:ascii="Arial" w:hAnsi="Arial" w:cs="Arial"/>
          <w:sz w:val="24"/>
          <w:szCs w:val="24"/>
          <w:lang w:val="es-BO"/>
        </w:rPr>
      </w:pPr>
      <w:r w:rsidRPr="00526208">
        <w:rPr>
          <w:rFonts w:ascii="Arial" w:hAnsi="Arial" w:cs="Arial"/>
          <w:sz w:val="24"/>
          <w:szCs w:val="24"/>
          <w:lang w:val="es-BO"/>
        </w:rPr>
        <w:t>Fuente: Elaboración propia</w:t>
      </w:r>
    </w:p>
    <w:p w:rsidR="005F1D54" w:rsidRPr="001A05A8" w:rsidRDefault="005F1D54" w:rsidP="00833BDE">
      <w:pPr>
        <w:pStyle w:val="Default"/>
        <w:rPr>
          <w:lang w:val="es-BO"/>
        </w:rPr>
      </w:pPr>
    </w:p>
    <w:p w:rsidR="00833BDE" w:rsidRPr="00526208" w:rsidRDefault="0085268C" w:rsidP="006F6142">
      <w:pPr>
        <w:pStyle w:val="Ttulo2"/>
        <w:rPr>
          <w:lang w:val="es-BO"/>
        </w:rPr>
      </w:pPr>
      <w:bookmarkStart w:id="17" w:name="_Toc471887287"/>
      <w:r>
        <w:rPr>
          <w:lang w:val="es-BO"/>
        </w:rPr>
        <w:t>10.1 Procesabilidad</w:t>
      </w:r>
      <w:bookmarkEnd w:id="17"/>
    </w:p>
    <w:p w:rsidR="00833BDE" w:rsidRPr="00526208" w:rsidRDefault="00833BDE" w:rsidP="00833BDE">
      <w:pPr>
        <w:pStyle w:val="Default"/>
        <w:rPr>
          <w:lang w:val="es-BO"/>
        </w:rPr>
      </w:pPr>
    </w:p>
    <w:p w:rsidR="00833BDE" w:rsidRPr="00526208" w:rsidRDefault="00833BDE" w:rsidP="00833BDE">
      <w:pPr>
        <w:pStyle w:val="Default"/>
        <w:jc w:val="both"/>
        <w:rPr>
          <w:lang w:val="es-BO"/>
        </w:rPr>
      </w:pPr>
      <w:r w:rsidRPr="00526208">
        <w:rPr>
          <w:lang w:val="es-BO"/>
        </w:rPr>
        <w:t xml:space="preserve">Un proyecto se considera </w:t>
      </w:r>
      <w:r w:rsidRPr="00526208">
        <w:rPr>
          <w:b/>
          <w:bCs/>
          <w:lang w:val="es-BO"/>
        </w:rPr>
        <w:t xml:space="preserve">procesable </w:t>
      </w:r>
      <w:r w:rsidRPr="00526208">
        <w:rPr>
          <w:lang w:val="es-BO"/>
        </w:rPr>
        <w:t xml:space="preserve">cuando se verifica que cursan en el </w:t>
      </w:r>
      <w:r w:rsidR="00C74F4B">
        <w:rPr>
          <w:lang w:val="es-BO"/>
        </w:rPr>
        <w:t xml:space="preserve">ANUCTI </w:t>
      </w:r>
      <w:r w:rsidRPr="00526208">
        <w:rPr>
          <w:lang w:val="es-BO"/>
        </w:rPr>
        <w:t xml:space="preserve">en tiempo y forma lo siguiente: </w:t>
      </w:r>
    </w:p>
    <w:p w:rsidR="00833BDE" w:rsidRPr="00526208" w:rsidRDefault="00833BDE" w:rsidP="00833BDE">
      <w:pPr>
        <w:pStyle w:val="Default"/>
        <w:jc w:val="both"/>
        <w:rPr>
          <w:lang w:val="es-BO"/>
        </w:rPr>
      </w:pPr>
    </w:p>
    <w:p w:rsidR="00833BDE" w:rsidRPr="00526208" w:rsidRDefault="00833BDE" w:rsidP="004C1048">
      <w:pPr>
        <w:pStyle w:val="Default"/>
        <w:numPr>
          <w:ilvl w:val="0"/>
          <w:numId w:val="14"/>
        </w:numPr>
        <w:jc w:val="both"/>
        <w:rPr>
          <w:lang w:val="es-BO"/>
        </w:rPr>
      </w:pPr>
      <w:r w:rsidRPr="00526208">
        <w:rPr>
          <w:lang w:val="es-BO"/>
        </w:rPr>
        <w:t xml:space="preserve">Los archivos electrónicos correspondientes al proyecto en estado ENVIADO. </w:t>
      </w:r>
    </w:p>
    <w:p w:rsidR="00833BDE" w:rsidRPr="00526208" w:rsidRDefault="00833BDE" w:rsidP="004C1048">
      <w:pPr>
        <w:pStyle w:val="Default"/>
        <w:numPr>
          <w:ilvl w:val="0"/>
          <w:numId w:val="14"/>
        </w:numPr>
        <w:jc w:val="both"/>
        <w:rPr>
          <w:lang w:val="es-BO"/>
        </w:rPr>
      </w:pPr>
      <w:r w:rsidRPr="00526208">
        <w:rPr>
          <w:lang w:val="es-BO"/>
        </w:rPr>
        <w:t>Las carátulas del proyecto en soporte papel o impreso.</w:t>
      </w:r>
    </w:p>
    <w:p w:rsidR="00833BDE" w:rsidRPr="00526208" w:rsidRDefault="00833BDE" w:rsidP="00833BDE">
      <w:pPr>
        <w:pStyle w:val="Default"/>
        <w:jc w:val="both"/>
        <w:rPr>
          <w:lang w:val="es-BO"/>
        </w:rPr>
      </w:pPr>
    </w:p>
    <w:p w:rsidR="00833BDE" w:rsidRPr="00526208" w:rsidRDefault="00833BDE" w:rsidP="00833BDE">
      <w:pPr>
        <w:pStyle w:val="Default"/>
        <w:jc w:val="both"/>
        <w:rPr>
          <w:lang w:val="es-BO"/>
        </w:rPr>
      </w:pPr>
      <w:r w:rsidRPr="00526208">
        <w:rPr>
          <w:lang w:val="es-BO"/>
        </w:rPr>
        <w:t xml:space="preserve">La lista de proyectos procesables debe ser publicada por la WEB </w:t>
      </w:r>
      <w:r w:rsidR="00C74F4B">
        <w:rPr>
          <w:lang w:val="es-BO"/>
        </w:rPr>
        <w:t xml:space="preserve">por la ANUCTI </w:t>
      </w:r>
      <w:r w:rsidRPr="00526208">
        <w:rPr>
          <w:lang w:val="es-BO"/>
        </w:rPr>
        <w:t xml:space="preserve">en los plazos establecidos en la convocatoria. Los proyectos que no cumplan con los dos puntos anteriores podrán ser completados según los plazos establecidos </w:t>
      </w:r>
      <w:r w:rsidR="00E63FC2" w:rsidRPr="00526208">
        <w:rPr>
          <w:lang w:val="es-BO"/>
        </w:rPr>
        <w:t>en la convocatoria.</w:t>
      </w:r>
      <w:r w:rsidRPr="00526208">
        <w:rPr>
          <w:lang w:val="es-BO"/>
        </w:rPr>
        <w:t xml:space="preserve"> </w:t>
      </w:r>
    </w:p>
    <w:p w:rsidR="00833BDE" w:rsidRPr="00526208" w:rsidRDefault="00833BDE" w:rsidP="00833BDE">
      <w:pPr>
        <w:pStyle w:val="Default"/>
        <w:jc w:val="both"/>
        <w:rPr>
          <w:lang w:val="es-BO"/>
        </w:rPr>
      </w:pPr>
    </w:p>
    <w:p w:rsidR="00833BDE" w:rsidRDefault="00833BDE" w:rsidP="00833BDE">
      <w:pPr>
        <w:pStyle w:val="Default"/>
        <w:rPr>
          <w:lang w:val="es-BO"/>
        </w:rPr>
      </w:pPr>
    </w:p>
    <w:p w:rsidR="001D752D" w:rsidRPr="00526208" w:rsidRDefault="001D752D" w:rsidP="00833BDE">
      <w:pPr>
        <w:pStyle w:val="Default"/>
        <w:rPr>
          <w:lang w:val="es-BO"/>
        </w:rPr>
      </w:pPr>
    </w:p>
    <w:p w:rsidR="00833BDE" w:rsidRPr="00526208" w:rsidRDefault="0085268C" w:rsidP="006F6142">
      <w:pPr>
        <w:pStyle w:val="Ttulo2"/>
        <w:rPr>
          <w:lang w:val="es-BO"/>
        </w:rPr>
      </w:pPr>
      <w:bookmarkStart w:id="18" w:name="_Toc471887288"/>
      <w:r>
        <w:rPr>
          <w:lang w:val="es-BO"/>
        </w:rPr>
        <w:t xml:space="preserve">10.2 </w:t>
      </w:r>
      <w:r w:rsidR="00833BDE" w:rsidRPr="00526208">
        <w:rPr>
          <w:lang w:val="es-BO"/>
        </w:rPr>
        <w:t>Admisibilidad</w:t>
      </w:r>
      <w:bookmarkEnd w:id="18"/>
      <w:r w:rsidR="00833BDE" w:rsidRPr="00526208">
        <w:rPr>
          <w:lang w:val="es-BO"/>
        </w:rPr>
        <w:t xml:space="preserve"> </w:t>
      </w:r>
    </w:p>
    <w:p w:rsidR="00833BDE" w:rsidRPr="00526208" w:rsidRDefault="00833BDE" w:rsidP="00833BDE">
      <w:pPr>
        <w:pStyle w:val="Default"/>
        <w:rPr>
          <w:lang w:val="es-BO"/>
        </w:rPr>
      </w:pPr>
    </w:p>
    <w:p w:rsidR="00833BDE" w:rsidRPr="00526208" w:rsidRDefault="00833BDE" w:rsidP="00833BDE">
      <w:pPr>
        <w:pStyle w:val="Default"/>
        <w:rPr>
          <w:lang w:val="es-BO"/>
        </w:rPr>
      </w:pPr>
      <w:r w:rsidRPr="00526208">
        <w:rPr>
          <w:lang w:val="es-BO"/>
        </w:rPr>
        <w:t xml:space="preserve">Para que un proyecto procesable sea considerado admisible, deberá satisfacer los requisitos que se detallan a continuación: </w:t>
      </w:r>
    </w:p>
    <w:p w:rsidR="00E63FC2" w:rsidRPr="00526208" w:rsidRDefault="00E63FC2" w:rsidP="00833BDE">
      <w:pPr>
        <w:pStyle w:val="Default"/>
        <w:rPr>
          <w:lang w:val="es-BO"/>
        </w:rPr>
      </w:pPr>
    </w:p>
    <w:p w:rsidR="00833BDE" w:rsidRPr="00526208" w:rsidRDefault="00833BDE" w:rsidP="004C1048">
      <w:pPr>
        <w:pStyle w:val="Default"/>
        <w:numPr>
          <w:ilvl w:val="0"/>
          <w:numId w:val="15"/>
        </w:numPr>
        <w:spacing w:after="91"/>
        <w:rPr>
          <w:lang w:val="es-BO"/>
        </w:rPr>
      </w:pPr>
      <w:r w:rsidRPr="00526208">
        <w:rPr>
          <w:lang w:val="es-BO"/>
        </w:rPr>
        <w:t>Contar con las firmas en las carátulas según se especificó en la convocatoria.</w:t>
      </w:r>
    </w:p>
    <w:p w:rsidR="00E63FC2" w:rsidRPr="00526208" w:rsidRDefault="00833BDE" w:rsidP="004C1048">
      <w:pPr>
        <w:pStyle w:val="Default"/>
        <w:numPr>
          <w:ilvl w:val="0"/>
          <w:numId w:val="15"/>
        </w:numPr>
        <w:jc w:val="both"/>
        <w:rPr>
          <w:lang w:val="es-BO"/>
        </w:rPr>
      </w:pPr>
      <w:r w:rsidRPr="00526208">
        <w:rPr>
          <w:lang w:val="es-BO"/>
        </w:rPr>
        <w:t xml:space="preserve">Tener completa la </w:t>
      </w:r>
      <w:r w:rsidRPr="00526208">
        <w:rPr>
          <w:b/>
          <w:bCs/>
          <w:lang w:val="es-BO"/>
        </w:rPr>
        <w:t>información requerida</w:t>
      </w:r>
      <w:r w:rsidRPr="00526208">
        <w:rPr>
          <w:lang w:val="es-BO"/>
        </w:rPr>
        <w:t>.</w:t>
      </w:r>
      <w:r w:rsidR="00E63FC2" w:rsidRPr="00526208">
        <w:rPr>
          <w:lang w:val="es-BO"/>
        </w:rPr>
        <w:t xml:space="preserve"> El listado de verificación puede ser consultado en la WEB de</w:t>
      </w:r>
      <w:r w:rsidR="00C74F4B">
        <w:rPr>
          <w:lang w:val="es-BO"/>
        </w:rPr>
        <w:t xml:space="preserve"> la ANUCTI</w:t>
      </w:r>
      <w:r w:rsidR="00E63FC2" w:rsidRPr="00526208">
        <w:rPr>
          <w:lang w:val="es-BO"/>
        </w:rPr>
        <w:t>.</w:t>
      </w:r>
    </w:p>
    <w:p w:rsidR="009B2DEB" w:rsidRPr="00526208" w:rsidRDefault="009B2DEB" w:rsidP="006E75BF">
      <w:pPr>
        <w:spacing w:after="0" w:line="240" w:lineRule="auto"/>
        <w:rPr>
          <w:rFonts w:ascii="Arial" w:hAnsi="Arial" w:cs="Arial"/>
          <w:sz w:val="24"/>
          <w:szCs w:val="24"/>
          <w:lang w:val="es-BO"/>
        </w:rPr>
      </w:pPr>
    </w:p>
    <w:p w:rsidR="00E63FC2" w:rsidRPr="00526208" w:rsidRDefault="00E63FC2" w:rsidP="00E63FC2">
      <w:pPr>
        <w:pStyle w:val="Default"/>
        <w:rPr>
          <w:lang w:val="es-BO"/>
        </w:rPr>
      </w:pPr>
    </w:p>
    <w:p w:rsidR="00E63FC2" w:rsidRPr="00526208" w:rsidRDefault="0085268C" w:rsidP="006F6142">
      <w:pPr>
        <w:pStyle w:val="Ttulo2"/>
        <w:rPr>
          <w:lang w:val="es-BO"/>
        </w:rPr>
      </w:pPr>
      <w:bookmarkStart w:id="19" w:name="_Toc471887289"/>
      <w:r>
        <w:rPr>
          <w:lang w:val="es-BO"/>
        </w:rPr>
        <w:t xml:space="preserve">10.3 </w:t>
      </w:r>
      <w:r w:rsidR="00E63FC2" w:rsidRPr="00526208">
        <w:rPr>
          <w:lang w:val="es-BO"/>
        </w:rPr>
        <w:t>Acreditación curricular</w:t>
      </w:r>
      <w:bookmarkEnd w:id="19"/>
      <w:r w:rsidR="00E63FC2" w:rsidRPr="00526208">
        <w:rPr>
          <w:lang w:val="es-BO"/>
        </w:rPr>
        <w:t xml:space="preserve"> </w:t>
      </w:r>
    </w:p>
    <w:p w:rsidR="00E63FC2" w:rsidRPr="00526208" w:rsidRDefault="00E63FC2" w:rsidP="00E63FC2">
      <w:pPr>
        <w:pStyle w:val="Default"/>
        <w:jc w:val="both"/>
        <w:rPr>
          <w:b/>
          <w:bCs/>
          <w:lang w:val="es-BO"/>
        </w:rPr>
      </w:pPr>
    </w:p>
    <w:p w:rsidR="00E63FC2" w:rsidRPr="00526208" w:rsidRDefault="00E63FC2" w:rsidP="00E63FC2">
      <w:pPr>
        <w:pStyle w:val="Default"/>
        <w:jc w:val="both"/>
        <w:rPr>
          <w:lang w:val="es-BO"/>
        </w:rPr>
      </w:pPr>
      <w:r w:rsidRPr="00526208">
        <w:rPr>
          <w:bCs/>
          <w:lang w:val="es-BO"/>
        </w:rPr>
        <w:t xml:space="preserve">Todos los integrantes del Grupo Responsable o </w:t>
      </w:r>
      <w:r w:rsidR="00C74F4B">
        <w:rPr>
          <w:bCs/>
          <w:lang w:val="es-BO"/>
        </w:rPr>
        <w:t xml:space="preserve">Red de trabajo, </w:t>
      </w:r>
      <w:r w:rsidRPr="00526208">
        <w:rPr>
          <w:bCs/>
          <w:lang w:val="es-BO"/>
        </w:rPr>
        <w:t>deberán ser investigadores formados y activos</w:t>
      </w:r>
      <w:r w:rsidRPr="00526208">
        <w:rPr>
          <w:lang w:val="es-BO"/>
        </w:rPr>
        <w:t>.</w:t>
      </w:r>
    </w:p>
    <w:p w:rsidR="00E63FC2" w:rsidRPr="00526208" w:rsidRDefault="00E63FC2" w:rsidP="00E63FC2">
      <w:pPr>
        <w:pStyle w:val="Default"/>
        <w:jc w:val="both"/>
        <w:rPr>
          <w:lang w:val="es-BO"/>
        </w:rPr>
      </w:pPr>
      <w:r w:rsidRPr="00526208">
        <w:rPr>
          <w:lang w:val="es-BO"/>
        </w:rPr>
        <w:t xml:space="preserve"> </w:t>
      </w:r>
    </w:p>
    <w:p w:rsidR="00E63FC2" w:rsidRPr="00526208" w:rsidRDefault="00E63FC2" w:rsidP="00E63FC2">
      <w:pPr>
        <w:pStyle w:val="Default"/>
        <w:jc w:val="both"/>
        <w:rPr>
          <w:bCs/>
          <w:lang w:val="es-BO"/>
        </w:rPr>
      </w:pPr>
      <w:r w:rsidRPr="00526208">
        <w:rPr>
          <w:lang w:val="es-BO"/>
        </w:rPr>
        <w:t>La condición de investigador formado y activo será determinada en el RE</w:t>
      </w:r>
      <w:r w:rsidR="00C74F4B">
        <w:rPr>
          <w:lang w:val="es-BO"/>
        </w:rPr>
        <w:t>SUII</w:t>
      </w:r>
      <w:r w:rsidRPr="00526208">
        <w:rPr>
          <w:lang w:val="es-BO"/>
        </w:rPr>
        <w:t xml:space="preserve">. Es indispensable que la </w:t>
      </w:r>
      <w:r w:rsidRPr="00526208">
        <w:rPr>
          <w:bCs/>
          <w:lang w:val="es-BO"/>
        </w:rPr>
        <w:t>información curricular de todos los miembros del Grupo Responsable esté ACTUALIZADA</w:t>
      </w:r>
      <w:r w:rsidRPr="00526208">
        <w:rPr>
          <w:lang w:val="es-BO"/>
        </w:rPr>
        <w:t xml:space="preserve">. La acreditación curricular se decidirá </w:t>
      </w:r>
      <w:r w:rsidRPr="00526208">
        <w:rPr>
          <w:bCs/>
          <w:lang w:val="es-BO"/>
        </w:rPr>
        <w:t xml:space="preserve">exclusivamente </w:t>
      </w:r>
      <w:r w:rsidRPr="00526208">
        <w:rPr>
          <w:lang w:val="es-BO"/>
        </w:rPr>
        <w:t xml:space="preserve">sobre la base de la información suministrada, </w:t>
      </w:r>
      <w:r w:rsidRPr="00526208">
        <w:rPr>
          <w:bCs/>
          <w:lang w:val="es-BO"/>
        </w:rPr>
        <w:t xml:space="preserve">no se reconocerán datos no ingresados oportunamente en la base de datos. La falta total o parcial de información curricular será causal suficiente para resolver negativamente la acreditación. </w:t>
      </w:r>
    </w:p>
    <w:p w:rsidR="00E63FC2" w:rsidRPr="00526208" w:rsidRDefault="00E63FC2" w:rsidP="00E63FC2">
      <w:pPr>
        <w:pStyle w:val="Default"/>
        <w:jc w:val="both"/>
        <w:rPr>
          <w:lang w:val="es-BO"/>
        </w:rPr>
      </w:pPr>
    </w:p>
    <w:p w:rsidR="00E63FC2" w:rsidRPr="00526208" w:rsidRDefault="00E63FC2" w:rsidP="00E63FC2">
      <w:pPr>
        <w:pStyle w:val="Default"/>
        <w:jc w:val="both"/>
        <w:rPr>
          <w:bCs/>
          <w:i/>
          <w:iCs/>
          <w:lang w:val="es-BO"/>
        </w:rPr>
      </w:pPr>
      <w:r w:rsidRPr="00526208">
        <w:rPr>
          <w:bCs/>
          <w:lang w:val="es-BO"/>
        </w:rPr>
        <w:t xml:space="preserve">Un proyecto en el que al menos un investigador del Grupo Responsable </w:t>
      </w:r>
      <w:r w:rsidR="00C74F4B">
        <w:rPr>
          <w:bCs/>
          <w:lang w:val="es-BO"/>
        </w:rPr>
        <w:t xml:space="preserve">o Red </w:t>
      </w:r>
      <w:r w:rsidRPr="00526208">
        <w:rPr>
          <w:bCs/>
          <w:lang w:val="es-BO"/>
        </w:rPr>
        <w:t xml:space="preserve">no sea considerado formado y activo será declarado </w:t>
      </w:r>
      <w:r w:rsidRPr="00526208">
        <w:rPr>
          <w:b/>
          <w:bCs/>
          <w:iCs/>
          <w:lang w:val="es-BO"/>
        </w:rPr>
        <w:t>No Acreditado</w:t>
      </w:r>
      <w:r w:rsidRPr="00526208">
        <w:rPr>
          <w:bCs/>
          <w:i/>
          <w:iCs/>
          <w:lang w:val="es-BO"/>
        </w:rPr>
        <w:t>.</w:t>
      </w:r>
    </w:p>
    <w:p w:rsidR="00E63FC2" w:rsidRPr="00526208" w:rsidRDefault="00E63FC2" w:rsidP="00E63FC2">
      <w:pPr>
        <w:pStyle w:val="Default"/>
        <w:jc w:val="both"/>
        <w:rPr>
          <w:bCs/>
          <w:i/>
          <w:iCs/>
          <w:lang w:val="es-BO"/>
        </w:rPr>
      </w:pPr>
    </w:p>
    <w:p w:rsidR="00E63FC2" w:rsidRPr="00526208" w:rsidRDefault="00E63FC2" w:rsidP="00E63FC2">
      <w:pPr>
        <w:spacing w:after="0" w:line="240" w:lineRule="auto"/>
        <w:jc w:val="both"/>
        <w:rPr>
          <w:rFonts w:ascii="Arial" w:hAnsi="Arial" w:cs="Arial"/>
          <w:sz w:val="24"/>
          <w:szCs w:val="24"/>
          <w:lang w:val="es-BO"/>
        </w:rPr>
      </w:pPr>
      <w:r w:rsidRPr="00526208">
        <w:rPr>
          <w:rFonts w:ascii="Arial" w:hAnsi="Arial" w:cs="Arial"/>
          <w:sz w:val="24"/>
          <w:szCs w:val="24"/>
          <w:lang w:val="es-BO"/>
        </w:rPr>
        <w:t xml:space="preserve">Los recursos de reconsideración de proyectos </w:t>
      </w:r>
      <w:r w:rsidRPr="00C74F4B">
        <w:rPr>
          <w:rFonts w:ascii="Arial" w:hAnsi="Arial" w:cs="Arial"/>
          <w:b/>
          <w:sz w:val="24"/>
          <w:szCs w:val="24"/>
          <w:lang w:val="es-BO"/>
        </w:rPr>
        <w:t>No Acreditados</w:t>
      </w:r>
      <w:r w:rsidRPr="00526208">
        <w:rPr>
          <w:rFonts w:ascii="Arial" w:hAnsi="Arial" w:cs="Arial"/>
          <w:sz w:val="24"/>
          <w:szCs w:val="24"/>
          <w:lang w:val="es-BO"/>
        </w:rPr>
        <w:t xml:space="preserve"> podrán interponerse por el Investigador Responsable </w:t>
      </w:r>
      <w:r w:rsidR="00C74F4B">
        <w:rPr>
          <w:rFonts w:ascii="Arial" w:hAnsi="Arial" w:cs="Arial"/>
          <w:sz w:val="24"/>
          <w:szCs w:val="24"/>
          <w:lang w:val="es-BO"/>
        </w:rPr>
        <w:t xml:space="preserve">o Principal </w:t>
      </w:r>
      <w:r w:rsidRPr="00526208">
        <w:rPr>
          <w:rFonts w:ascii="Arial" w:hAnsi="Arial" w:cs="Arial"/>
          <w:sz w:val="24"/>
          <w:szCs w:val="24"/>
          <w:lang w:val="es-BO"/>
        </w:rPr>
        <w:t xml:space="preserve">ante el </w:t>
      </w:r>
      <w:r w:rsidR="00C74F4B">
        <w:rPr>
          <w:rFonts w:ascii="Arial" w:hAnsi="Arial" w:cs="Arial"/>
          <w:sz w:val="24"/>
          <w:szCs w:val="24"/>
          <w:lang w:val="es-BO"/>
        </w:rPr>
        <w:t>ANUCTI</w:t>
      </w:r>
      <w:r w:rsidRPr="00526208">
        <w:rPr>
          <w:rFonts w:ascii="Arial" w:hAnsi="Arial" w:cs="Arial"/>
          <w:sz w:val="24"/>
          <w:szCs w:val="24"/>
          <w:lang w:val="es-BO"/>
        </w:rPr>
        <w:t xml:space="preserve"> por nota, con el aval del representante de la Institución Beneficiaria, dentro de los CINCO (5) días hábiles de notificada la determinación y las mismas serán elevadas al Consejo </w:t>
      </w:r>
      <w:r w:rsidR="00C74F4B">
        <w:rPr>
          <w:rFonts w:ascii="Arial" w:hAnsi="Arial" w:cs="Arial"/>
          <w:sz w:val="24"/>
          <w:szCs w:val="24"/>
          <w:lang w:val="es-BO"/>
        </w:rPr>
        <w:t xml:space="preserve">Científico de la ANUCTI </w:t>
      </w:r>
      <w:r w:rsidRPr="00526208">
        <w:rPr>
          <w:rFonts w:ascii="Arial" w:hAnsi="Arial" w:cs="Arial"/>
          <w:sz w:val="24"/>
          <w:szCs w:val="24"/>
          <w:lang w:val="es-BO"/>
        </w:rPr>
        <w:t>para su tratamiento y decisión final.</w:t>
      </w:r>
    </w:p>
    <w:p w:rsidR="00E63FC2" w:rsidRPr="00526208" w:rsidRDefault="00E63FC2" w:rsidP="00E63FC2">
      <w:pPr>
        <w:autoSpaceDE w:val="0"/>
        <w:autoSpaceDN w:val="0"/>
        <w:adjustRightInd w:val="0"/>
        <w:spacing w:after="0" w:line="240" w:lineRule="auto"/>
        <w:rPr>
          <w:rFonts w:ascii="Arial" w:hAnsi="Arial" w:cs="Arial"/>
          <w:color w:val="000000"/>
          <w:sz w:val="24"/>
          <w:szCs w:val="24"/>
          <w:lang w:val="es-BO"/>
        </w:rPr>
      </w:pPr>
    </w:p>
    <w:p w:rsidR="001832CE" w:rsidRPr="00526208" w:rsidRDefault="001832CE" w:rsidP="00E63FC2">
      <w:pPr>
        <w:autoSpaceDE w:val="0"/>
        <w:autoSpaceDN w:val="0"/>
        <w:adjustRightInd w:val="0"/>
        <w:spacing w:after="0" w:line="240" w:lineRule="auto"/>
        <w:rPr>
          <w:rFonts w:ascii="Arial" w:hAnsi="Arial" w:cs="Arial"/>
          <w:color w:val="000000"/>
          <w:sz w:val="24"/>
          <w:szCs w:val="24"/>
          <w:lang w:val="es-BO"/>
        </w:rPr>
      </w:pPr>
    </w:p>
    <w:p w:rsidR="00E63FC2" w:rsidRPr="00526208" w:rsidRDefault="0085268C" w:rsidP="006F6142">
      <w:pPr>
        <w:pStyle w:val="Ttulo2"/>
        <w:rPr>
          <w:lang w:val="es-BO"/>
        </w:rPr>
      </w:pPr>
      <w:bookmarkStart w:id="20" w:name="_Toc471887290"/>
      <w:r>
        <w:rPr>
          <w:lang w:val="es-BO"/>
        </w:rPr>
        <w:t>10.4</w:t>
      </w:r>
      <w:r>
        <w:rPr>
          <w:lang w:val="es-BO"/>
        </w:rPr>
        <w:tab/>
        <w:t>C</w:t>
      </w:r>
      <w:r w:rsidR="00E63FC2" w:rsidRPr="00526208">
        <w:rPr>
          <w:lang w:val="es-BO"/>
        </w:rPr>
        <w:t>alidad Científico-Tecnológica</w:t>
      </w:r>
      <w:bookmarkEnd w:id="20"/>
      <w:r w:rsidR="00E63FC2" w:rsidRPr="00526208">
        <w:rPr>
          <w:lang w:val="es-BO"/>
        </w:rPr>
        <w:t xml:space="preserve"> </w:t>
      </w:r>
    </w:p>
    <w:p w:rsidR="00E63FC2" w:rsidRPr="00526208" w:rsidRDefault="00E63FC2" w:rsidP="00E63FC2">
      <w:pPr>
        <w:autoSpaceDE w:val="0"/>
        <w:autoSpaceDN w:val="0"/>
        <w:adjustRightInd w:val="0"/>
        <w:spacing w:after="0" w:line="240" w:lineRule="auto"/>
        <w:rPr>
          <w:rFonts w:ascii="Arial" w:hAnsi="Arial" w:cs="Arial"/>
          <w:b/>
          <w:bCs/>
          <w:color w:val="000000"/>
          <w:sz w:val="24"/>
          <w:szCs w:val="24"/>
          <w:lang w:val="es-BO"/>
        </w:rPr>
      </w:pPr>
    </w:p>
    <w:p w:rsidR="00E63FC2" w:rsidRPr="00526208" w:rsidRDefault="00C74F4B" w:rsidP="00937605">
      <w:pPr>
        <w:pStyle w:val="Ttulo3"/>
        <w:rPr>
          <w:lang w:val="es-BO"/>
        </w:rPr>
      </w:pPr>
      <w:bookmarkStart w:id="21" w:name="_Toc471887291"/>
      <w:r>
        <w:rPr>
          <w:lang w:val="es-BO"/>
        </w:rPr>
        <w:t>10.4.1</w:t>
      </w:r>
      <w:r w:rsidR="00E63FC2" w:rsidRPr="00526208">
        <w:rPr>
          <w:lang w:val="es-BO"/>
        </w:rPr>
        <w:t xml:space="preserve"> Criterios de Calidad</w:t>
      </w:r>
      <w:bookmarkEnd w:id="21"/>
      <w:r w:rsidR="00E63FC2" w:rsidRPr="00526208">
        <w:rPr>
          <w:lang w:val="es-BO"/>
        </w:rPr>
        <w:t xml:space="preserve"> </w:t>
      </w:r>
    </w:p>
    <w:p w:rsidR="00D17439" w:rsidRPr="00526208" w:rsidRDefault="00D17439" w:rsidP="00D17439">
      <w:pPr>
        <w:autoSpaceDE w:val="0"/>
        <w:autoSpaceDN w:val="0"/>
        <w:adjustRightInd w:val="0"/>
        <w:spacing w:after="0" w:line="240" w:lineRule="auto"/>
        <w:jc w:val="both"/>
        <w:rPr>
          <w:rFonts w:ascii="Arial" w:hAnsi="Arial" w:cs="Arial"/>
          <w:color w:val="000000"/>
          <w:sz w:val="24"/>
          <w:szCs w:val="24"/>
          <w:lang w:val="es-BO"/>
        </w:rPr>
      </w:pPr>
    </w:p>
    <w:p w:rsidR="00E63FC2" w:rsidRPr="00526208" w:rsidRDefault="00E63FC2" w:rsidP="00D17439">
      <w:pPr>
        <w:autoSpaceDE w:val="0"/>
        <w:autoSpaceDN w:val="0"/>
        <w:adjustRightInd w:val="0"/>
        <w:spacing w:after="0" w:line="240" w:lineRule="auto"/>
        <w:jc w:val="both"/>
        <w:rPr>
          <w:rFonts w:ascii="Arial" w:hAnsi="Arial" w:cs="Arial"/>
          <w:color w:val="000000"/>
          <w:sz w:val="24"/>
          <w:szCs w:val="24"/>
          <w:lang w:val="es-BO"/>
        </w:rPr>
      </w:pPr>
      <w:r w:rsidRPr="00526208">
        <w:rPr>
          <w:rFonts w:ascii="Arial" w:hAnsi="Arial" w:cs="Arial"/>
          <w:color w:val="000000"/>
          <w:sz w:val="24"/>
          <w:szCs w:val="24"/>
          <w:lang w:val="es-BO"/>
        </w:rPr>
        <w:t xml:space="preserve">Para determinar la </w:t>
      </w:r>
      <w:r w:rsidRPr="00526208">
        <w:rPr>
          <w:rFonts w:ascii="Arial" w:hAnsi="Arial" w:cs="Arial"/>
          <w:i/>
          <w:iCs/>
          <w:color w:val="000000"/>
          <w:sz w:val="24"/>
          <w:szCs w:val="24"/>
          <w:lang w:val="es-BO"/>
        </w:rPr>
        <w:t xml:space="preserve">Calidad Científico-Tecnológica </w:t>
      </w:r>
      <w:r w:rsidRPr="00526208">
        <w:rPr>
          <w:rFonts w:ascii="Arial" w:hAnsi="Arial" w:cs="Arial"/>
          <w:color w:val="000000"/>
          <w:sz w:val="24"/>
          <w:szCs w:val="24"/>
          <w:lang w:val="es-BO"/>
        </w:rPr>
        <w:t xml:space="preserve">de los proyectos presentados </w:t>
      </w:r>
      <w:r w:rsidR="00D17439" w:rsidRPr="00526208">
        <w:rPr>
          <w:rFonts w:ascii="Arial" w:hAnsi="Arial" w:cs="Arial"/>
          <w:color w:val="000000"/>
          <w:sz w:val="24"/>
          <w:szCs w:val="24"/>
          <w:lang w:val="es-BO"/>
        </w:rPr>
        <w:t>se</w:t>
      </w:r>
      <w:r w:rsidRPr="00526208">
        <w:rPr>
          <w:rFonts w:ascii="Arial" w:hAnsi="Arial" w:cs="Arial"/>
          <w:color w:val="000000"/>
          <w:sz w:val="24"/>
          <w:szCs w:val="24"/>
          <w:lang w:val="es-BO"/>
        </w:rPr>
        <w:t xml:space="preserve"> seleccionarán pares que efectuarán dicha evaluación de acuerdo </w:t>
      </w:r>
      <w:r w:rsidRPr="00526208">
        <w:rPr>
          <w:rFonts w:ascii="Arial" w:hAnsi="Arial" w:cs="Arial"/>
          <w:b/>
          <w:bCs/>
          <w:color w:val="000000"/>
          <w:sz w:val="24"/>
          <w:szCs w:val="24"/>
          <w:lang w:val="es-BO"/>
        </w:rPr>
        <w:t>los siguientes criterios de Calidad</w:t>
      </w:r>
      <w:r w:rsidRPr="00526208">
        <w:rPr>
          <w:rFonts w:ascii="Arial" w:hAnsi="Arial" w:cs="Arial"/>
          <w:color w:val="000000"/>
          <w:sz w:val="24"/>
          <w:szCs w:val="24"/>
          <w:lang w:val="es-BO"/>
        </w:rPr>
        <w:t xml:space="preserve">: </w:t>
      </w:r>
    </w:p>
    <w:p w:rsidR="00D17439" w:rsidRPr="00526208" w:rsidRDefault="00D17439" w:rsidP="00D17439">
      <w:pPr>
        <w:autoSpaceDE w:val="0"/>
        <w:autoSpaceDN w:val="0"/>
        <w:adjustRightInd w:val="0"/>
        <w:spacing w:after="0" w:line="240" w:lineRule="auto"/>
        <w:jc w:val="both"/>
        <w:rPr>
          <w:rFonts w:ascii="Arial" w:hAnsi="Arial" w:cs="Arial"/>
          <w:color w:val="000000"/>
          <w:sz w:val="24"/>
          <w:szCs w:val="24"/>
          <w:lang w:val="es-BO"/>
        </w:rPr>
      </w:pPr>
    </w:p>
    <w:p w:rsidR="00D17439" w:rsidRPr="00526208" w:rsidRDefault="00D17439" w:rsidP="004C1048">
      <w:pPr>
        <w:pStyle w:val="Prrafodelista"/>
        <w:numPr>
          <w:ilvl w:val="0"/>
          <w:numId w:val="16"/>
        </w:numPr>
        <w:autoSpaceDE w:val="0"/>
        <w:autoSpaceDN w:val="0"/>
        <w:adjustRightInd w:val="0"/>
        <w:spacing w:after="53" w:line="240" w:lineRule="auto"/>
        <w:rPr>
          <w:rFonts w:ascii="Arial" w:hAnsi="Arial" w:cs="Arial"/>
          <w:sz w:val="24"/>
          <w:szCs w:val="24"/>
          <w:lang w:val="es-BO"/>
        </w:rPr>
      </w:pPr>
      <w:r w:rsidRPr="00526208">
        <w:rPr>
          <w:rFonts w:ascii="Arial" w:hAnsi="Arial" w:cs="Arial"/>
          <w:sz w:val="24"/>
          <w:szCs w:val="24"/>
          <w:lang w:val="es-BO"/>
        </w:rPr>
        <w:t xml:space="preserve">Parte 1: Contenido de conocimiento científico y tecnológico del proyecto. </w:t>
      </w:r>
    </w:p>
    <w:p w:rsidR="00D17439" w:rsidRPr="00526208" w:rsidRDefault="00D17439" w:rsidP="004C1048">
      <w:pPr>
        <w:pStyle w:val="Prrafodelista"/>
        <w:numPr>
          <w:ilvl w:val="0"/>
          <w:numId w:val="16"/>
        </w:numPr>
        <w:autoSpaceDE w:val="0"/>
        <w:autoSpaceDN w:val="0"/>
        <w:adjustRightInd w:val="0"/>
        <w:spacing w:after="53" w:line="240" w:lineRule="auto"/>
        <w:rPr>
          <w:rFonts w:ascii="Arial" w:hAnsi="Arial" w:cs="Arial"/>
          <w:sz w:val="24"/>
          <w:szCs w:val="24"/>
          <w:lang w:val="es-BO"/>
        </w:rPr>
      </w:pPr>
      <w:r w:rsidRPr="00526208">
        <w:rPr>
          <w:rFonts w:ascii="Arial" w:hAnsi="Arial" w:cs="Arial"/>
          <w:sz w:val="24"/>
          <w:szCs w:val="24"/>
          <w:lang w:val="es-BO"/>
        </w:rPr>
        <w:t xml:space="preserve">Parte 2: Coherencia entre objetivos, metodología y plan de trabajo. </w:t>
      </w:r>
    </w:p>
    <w:p w:rsidR="00D17439" w:rsidRPr="00526208" w:rsidRDefault="00D17439" w:rsidP="004C1048">
      <w:pPr>
        <w:pStyle w:val="Prrafodelista"/>
        <w:numPr>
          <w:ilvl w:val="0"/>
          <w:numId w:val="16"/>
        </w:numPr>
        <w:autoSpaceDE w:val="0"/>
        <w:autoSpaceDN w:val="0"/>
        <w:adjustRightInd w:val="0"/>
        <w:spacing w:after="0" w:line="240" w:lineRule="auto"/>
        <w:rPr>
          <w:rFonts w:ascii="Arial" w:hAnsi="Arial" w:cs="Arial"/>
          <w:sz w:val="24"/>
          <w:szCs w:val="24"/>
          <w:lang w:val="es-BO"/>
        </w:rPr>
      </w:pPr>
      <w:r w:rsidRPr="00526208">
        <w:rPr>
          <w:rFonts w:ascii="Arial" w:hAnsi="Arial" w:cs="Arial"/>
          <w:sz w:val="24"/>
          <w:szCs w:val="24"/>
          <w:lang w:val="es-BO"/>
        </w:rPr>
        <w:t xml:space="preserve">Parte 3: Capacidad científico tecnológica del grupo responsable del proyecto. </w:t>
      </w:r>
    </w:p>
    <w:p w:rsidR="00D17439" w:rsidRDefault="00D17439" w:rsidP="00D17439">
      <w:pPr>
        <w:autoSpaceDE w:val="0"/>
        <w:autoSpaceDN w:val="0"/>
        <w:adjustRightInd w:val="0"/>
        <w:spacing w:after="0" w:line="240" w:lineRule="auto"/>
        <w:ind w:left="360"/>
        <w:rPr>
          <w:rFonts w:ascii="Arial" w:hAnsi="Arial" w:cs="Arial"/>
          <w:sz w:val="24"/>
          <w:szCs w:val="24"/>
          <w:lang w:val="es-BO"/>
        </w:rPr>
      </w:pPr>
    </w:p>
    <w:p w:rsidR="005166EB" w:rsidRDefault="005166EB" w:rsidP="00D17439">
      <w:pPr>
        <w:autoSpaceDE w:val="0"/>
        <w:autoSpaceDN w:val="0"/>
        <w:adjustRightInd w:val="0"/>
        <w:spacing w:after="0" w:line="240" w:lineRule="auto"/>
        <w:ind w:left="360"/>
        <w:rPr>
          <w:rFonts w:ascii="Arial" w:hAnsi="Arial" w:cs="Arial"/>
          <w:sz w:val="24"/>
          <w:szCs w:val="24"/>
          <w:lang w:val="es-BO"/>
        </w:rPr>
      </w:pPr>
    </w:p>
    <w:p w:rsidR="005166EB" w:rsidRDefault="005166EB" w:rsidP="00D17439">
      <w:pPr>
        <w:autoSpaceDE w:val="0"/>
        <w:autoSpaceDN w:val="0"/>
        <w:adjustRightInd w:val="0"/>
        <w:spacing w:after="0" w:line="240" w:lineRule="auto"/>
        <w:ind w:left="360"/>
        <w:rPr>
          <w:rFonts w:ascii="Arial" w:hAnsi="Arial" w:cs="Arial"/>
          <w:sz w:val="24"/>
          <w:szCs w:val="24"/>
          <w:lang w:val="es-BO"/>
        </w:rPr>
      </w:pPr>
    </w:p>
    <w:p w:rsidR="005166EB" w:rsidRDefault="005166EB" w:rsidP="00D17439">
      <w:pPr>
        <w:autoSpaceDE w:val="0"/>
        <w:autoSpaceDN w:val="0"/>
        <w:adjustRightInd w:val="0"/>
        <w:spacing w:after="0" w:line="240" w:lineRule="auto"/>
        <w:ind w:left="360"/>
        <w:rPr>
          <w:rFonts w:ascii="Arial" w:hAnsi="Arial" w:cs="Arial"/>
          <w:sz w:val="24"/>
          <w:szCs w:val="24"/>
          <w:lang w:val="es-BO"/>
        </w:rPr>
      </w:pPr>
    </w:p>
    <w:p w:rsidR="005166EB" w:rsidRPr="00526208" w:rsidRDefault="005166EB" w:rsidP="00D17439">
      <w:pPr>
        <w:autoSpaceDE w:val="0"/>
        <w:autoSpaceDN w:val="0"/>
        <w:adjustRightInd w:val="0"/>
        <w:spacing w:after="0" w:line="240" w:lineRule="auto"/>
        <w:ind w:left="360"/>
        <w:rPr>
          <w:rFonts w:ascii="Arial" w:hAnsi="Arial" w:cs="Arial"/>
          <w:sz w:val="24"/>
          <w:szCs w:val="24"/>
          <w:lang w:val="es-BO"/>
        </w:rPr>
      </w:pPr>
    </w:p>
    <w:p w:rsidR="00D17439" w:rsidRPr="00526208" w:rsidRDefault="00C74F4B" w:rsidP="006F6142">
      <w:pPr>
        <w:pStyle w:val="Ttulo3"/>
        <w:rPr>
          <w:lang w:val="es-BO"/>
        </w:rPr>
      </w:pPr>
      <w:bookmarkStart w:id="22" w:name="_Toc471887292"/>
      <w:r>
        <w:rPr>
          <w:lang w:val="es-BO"/>
        </w:rPr>
        <w:t>10.4.2</w:t>
      </w:r>
      <w:r w:rsidR="00D17439" w:rsidRPr="00526208">
        <w:rPr>
          <w:lang w:val="es-BO"/>
        </w:rPr>
        <w:t xml:space="preserve"> Cali</w:t>
      </w:r>
      <w:r w:rsidR="006F6142">
        <w:rPr>
          <w:lang w:val="es-BO"/>
        </w:rPr>
        <w:t>ficación final de los proyectos</w:t>
      </w:r>
      <w:bookmarkEnd w:id="22"/>
      <w:r w:rsidR="00D17439" w:rsidRPr="00526208">
        <w:rPr>
          <w:lang w:val="es-BO"/>
        </w:rPr>
        <w:t xml:space="preserve"> </w:t>
      </w:r>
    </w:p>
    <w:p w:rsidR="00D17439" w:rsidRPr="00526208" w:rsidRDefault="00D17439" w:rsidP="00D17439">
      <w:pPr>
        <w:autoSpaceDE w:val="0"/>
        <w:autoSpaceDN w:val="0"/>
        <w:adjustRightInd w:val="0"/>
        <w:spacing w:after="0" w:line="240" w:lineRule="auto"/>
        <w:ind w:left="284" w:hanging="284"/>
        <w:rPr>
          <w:rFonts w:ascii="Arial" w:hAnsi="Arial" w:cs="Arial"/>
          <w:b/>
          <w:bCs/>
          <w:sz w:val="24"/>
          <w:szCs w:val="24"/>
          <w:lang w:val="es-BO"/>
        </w:rPr>
      </w:pPr>
    </w:p>
    <w:p w:rsidR="00D17439" w:rsidRPr="00526208" w:rsidRDefault="00D17439" w:rsidP="00D17439">
      <w:pPr>
        <w:autoSpaceDE w:val="0"/>
        <w:autoSpaceDN w:val="0"/>
        <w:adjustRightInd w:val="0"/>
        <w:spacing w:after="0" w:line="240" w:lineRule="auto"/>
        <w:ind w:left="284" w:hanging="284"/>
        <w:rPr>
          <w:rFonts w:ascii="Arial" w:hAnsi="Arial" w:cs="Arial"/>
          <w:sz w:val="24"/>
          <w:szCs w:val="24"/>
          <w:lang w:val="es-BO"/>
        </w:rPr>
      </w:pPr>
      <w:r w:rsidRPr="00526208">
        <w:rPr>
          <w:rFonts w:ascii="Arial" w:hAnsi="Arial" w:cs="Arial"/>
          <w:sz w:val="24"/>
          <w:szCs w:val="24"/>
          <w:lang w:val="es-BO"/>
        </w:rPr>
        <w:t xml:space="preserve">La escala utilizada para la calificación de los proyectos </w:t>
      </w:r>
      <w:r w:rsidR="00C74F4B">
        <w:rPr>
          <w:rFonts w:ascii="Arial" w:hAnsi="Arial" w:cs="Arial"/>
          <w:sz w:val="24"/>
          <w:szCs w:val="24"/>
          <w:lang w:val="es-BO"/>
        </w:rPr>
        <w:t>debe ser:</w:t>
      </w:r>
    </w:p>
    <w:p w:rsidR="00D17439" w:rsidRPr="00526208" w:rsidRDefault="00D17439" w:rsidP="00D17439">
      <w:pPr>
        <w:autoSpaceDE w:val="0"/>
        <w:autoSpaceDN w:val="0"/>
        <w:adjustRightInd w:val="0"/>
        <w:spacing w:after="0" w:line="240" w:lineRule="auto"/>
        <w:rPr>
          <w:rFonts w:ascii="Arial" w:hAnsi="Arial" w:cs="Arial"/>
          <w:sz w:val="24"/>
          <w:szCs w:val="24"/>
          <w:lang w:val="es-BO"/>
        </w:rPr>
      </w:pPr>
    </w:p>
    <w:p w:rsidR="0054735A" w:rsidRPr="00526208" w:rsidRDefault="0054735A" w:rsidP="00D17439">
      <w:pPr>
        <w:autoSpaceDE w:val="0"/>
        <w:autoSpaceDN w:val="0"/>
        <w:adjustRightInd w:val="0"/>
        <w:spacing w:after="0" w:line="240" w:lineRule="auto"/>
        <w:rPr>
          <w:rFonts w:ascii="Arial" w:hAnsi="Arial" w:cs="Arial"/>
          <w:sz w:val="24"/>
          <w:szCs w:val="24"/>
          <w:lang w:val="es-BO"/>
        </w:rPr>
      </w:pPr>
    </w:p>
    <w:p w:rsidR="0054735A" w:rsidRPr="00C74F4B" w:rsidRDefault="0054735A" w:rsidP="00C74F4B">
      <w:pPr>
        <w:autoSpaceDE w:val="0"/>
        <w:autoSpaceDN w:val="0"/>
        <w:adjustRightInd w:val="0"/>
        <w:spacing w:after="0" w:line="240" w:lineRule="auto"/>
        <w:jc w:val="center"/>
        <w:rPr>
          <w:rFonts w:ascii="Arial" w:hAnsi="Arial" w:cs="Arial"/>
          <w:b/>
          <w:sz w:val="24"/>
          <w:szCs w:val="24"/>
          <w:lang w:val="es-BO"/>
        </w:rPr>
      </w:pPr>
      <w:r w:rsidRPr="00C74F4B">
        <w:rPr>
          <w:rFonts w:ascii="Arial" w:hAnsi="Arial" w:cs="Arial"/>
          <w:b/>
          <w:sz w:val="24"/>
          <w:szCs w:val="24"/>
          <w:lang w:val="es-BO"/>
        </w:rPr>
        <w:t>Cuadro</w:t>
      </w:r>
      <w:r w:rsidR="001D752D">
        <w:rPr>
          <w:rFonts w:ascii="Arial" w:hAnsi="Arial" w:cs="Arial"/>
          <w:b/>
          <w:sz w:val="24"/>
          <w:szCs w:val="24"/>
          <w:lang w:val="es-BO"/>
        </w:rPr>
        <w:t xml:space="preserve"> 2</w:t>
      </w:r>
    </w:p>
    <w:p w:rsidR="0054735A" w:rsidRPr="00C74F4B" w:rsidRDefault="00C74F4B" w:rsidP="00C74F4B">
      <w:pPr>
        <w:autoSpaceDE w:val="0"/>
        <w:autoSpaceDN w:val="0"/>
        <w:adjustRightInd w:val="0"/>
        <w:spacing w:after="0" w:line="240" w:lineRule="auto"/>
        <w:jc w:val="center"/>
        <w:rPr>
          <w:rFonts w:ascii="Arial" w:hAnsi="Arial" w:cs="Arial"/>
          <w:b/>
          <w:sz w:val="24"/>
          <w:szCs w:val="24"/>
          <w:lang w:val="es-BO"/>
        </w:rPr>
      </w:pPr>
      <w:r w:rsidRPr="00C74F4B">
        <w:rPr>
          <w:rFonts w:ascii="Arial" w:hAnsi="Arial" w:cs="Arial"/>
          <w:b/>
          <w:sz w:val="24"/>
          <w:szCs w:val="24"/>
          <w:lang w:val="es-BO"/>
        </w:rPr>
        <w:t>Escala de Calificación de Proyectos</w:t>
      </w:r>
      <w:r>
        <w:rPr>
          <w:rFonts w:ascii="Arial" w:hAnsi="Arial" w:cs="Arial"/>
          <w:b/>
          <w:sz w:val="24"/>
          <w:szCs w:val="24"/>
          <w:lang w:val="es-BO"/>
        </w:rPr>
        <w:t xml:space="preserve"> con recursos FONUCyT</w:t>
      </w:r>
    </w:p>
    <w:p w:rsidR="0054735A" w:rsidRPr="00526208" w:rsidRDefault="0054735A" w:rsidP="00D17439">
      <w:pPr>
        <w:autoSpaceDE w:val="0"/>
        <w:autoSpaceDN w:val="0"/>
        <w:adjustRightInd w:val="0"/>
        <w:spacing w:after="0" w:line="240" w:lineRule="auto"/>
        <w:rPr>
          <w:rFonts w:ascii="Arial" w:hAnsi="Arial" w:cs="Arial"/>
          <w:sz w:val="24"/>
          <w:szCs w:val="24"/>
          <w:lang w:val="es-BO"/>
        </w:rPr>
      </w:pPr>
    </w:p>
    <w:tbl>
      <w:tblPr>
        <w:tblStyle w:val="Tabladecuadrcula41"/>
        <w:tblW w:w="0" w:type="auto"/>
        <w:tblLook w:val="04A0" w:firstRow="1" w:lastRow="0" w:firstColumn="1" w:lastColumn="0" w:noHBand="0" w:noVBand="1"/>
      </w:tblPr>
      <w:tblGrid>
        <w:gridCol w:w="3256"/>
        <w:gridCol w:w="5805"/>
      </w:tblGrid>
      <w:tr w:rsidR="00D17439" w:rsidRPr="001A05A8" w:rsidTr="001A0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17439" w:rsidRPr="001A05A8" w:rsidRDefault="00D17439" w:rsidP="00D17439">
            <w:pPr>
              <w:autoSpaceDE w:val="0"/>
              <w:autoSpaceDN w:val="0"/>
              <w:adjustRightInd w:val="0"/>
              <w:jc w:val="center"/>
              <w:rPr>
                <w:rFonts w:ascii="Arial" w:hAnsi="Arial" w:cs="Arial"/>
                <w:lang w:val="es-BO"/>
              </w:rPr>
            </w:pPr>
            <w:r w:rsidRPr="001A05A8">
              <w:rPr>
                <w:rFonts w:ascii="Arial" w:hAnsi="Arial" w:cs="Arial"/>
                <w:lang w:val="es-BO"/>
              </w:rPr>
              <w:t>ESCALA DE CALIFICACION</w:t>
            </w:r>
          </w:p>
        </w:tc>
        <w:tc>
          <w:tcPr>
            <w:tcW w:w="5805" w:type="dxa"/>
          </w:tcPr>
          <w:p w:rsidR="00D17439" w:rsidRPr="001A05A8" w:rsidRDefault="00D17439" w:rsidP="00D1743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lang w:val="es-BO"/>
              </w:rPr>
            </w:pPr>
            <w:r w:rsidRPr="001A05A8">
              <w:rPr>
                <w:rFonts w:ascii="Arial" w:hAnsi="Arial" w:cs="Arial"/>
                <w:lang w:val="es-BO"/>
              </w:rPr>
              <w:t>DESCRIPCION</w:t>
            </w:r>
          </w:p>
        </w:tc>
      </w:tr>
      <w:tr w:rsidR="00D17439" w:rsidRPr="00B80977" w:rsidTr="001A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17439" w:rsidRPr="001A05A8" w:rsidRDefault="00D17439" w:rsidP="00D17439">
            <w:pPr>
              <w:autoSpaceDE w:val="0"/>
              <w:autoSpaceDN w:val="0"/>
              <w:adjustRightInd w:val="0"/>
              <w:rPr>
                <w:rFonts w:ascii="Arial" w:hAnsi="Arial" w:cs="Arial"/>
                <w:color w:val="000000"/>
                <w:lang w:val="es-BO"/>
              </w:rPr>
            </w:pPr>
          </w:p>
          <w:p w:rsidR="00D17439" w:rsidRPr="001A05A8" w:rsidRDefault="00D17439" w:rsidP="00D17439">
            <w:pPr>
              <w:autoSpaceDE w:val="0"/>
              <w:autoSpaceDN w:val="0"/>
              <w:adjustRightInd w:val="0"/>
              <w:rPr>
                <w:rFonts w:ascii="Arial" w:hAnsi="Arial" w:cs="Arial"/>
                <w:lang w:val="es-BO"/>
              </w:rPr>
            </w:pPr>
            <w:r w:rsidRPr="001A05A8">
              <w:rPr>
                <w:rFonts w:ascii="Arial" w:hAnsi="Arial" w:cs="Arial"/>
                <w:color w:val="000000"/>
                <w:lang w:val="es-BO"/>
              </w:rPr>
              <w:t>1-2-3: No aceptable</w:t>
            </w:r>
          </w:p>
        </w:tc>
        <w:tc>
          <w:tcPr>
            <w:tcW w:w="5805" w:type="dxa"/>
          </w:tcPr>
          <w:p w:rsidR="00D17439" w:rsidRPr="001A05A8" w:rsidRDefault="00D17439" w:rsidP="00D1743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lang w:val="es-BO"/>
              </w:rPr>
            </w:pPr>
            <w:r w:rsidRPr="001A05A8">
              <w:rPr>
                <w:rFonts w:ascii="Arial" w:hAnsi="Arial" w:cs="Arial"/>
                <w:color w:val="000000"/>
                <w:lang w:val="es-BO"/>
              </w:rPr>
              <w:t>El proyecto tiene serias deficiencias o no puede ser evaluado por carecer de información o ser ésta última incompleta.</w:t>
            </w:r>
          </w:p>
        </w:tc>
      </w:tr>
      <w:tr w:rsidR="00D17439" w:rsidRPr="00B80977" w:rsidTr="001A05A8">
        <w:tc>
          <w:tcPr>
            <w:cnfStyle w:val="001000000000" w:firstRow="0" w:lastRow="0" w:firstColumn="1" w:lastColumn="0" w:oddVBand="0" w:evenVBand="0" w:oddHBand="0" w:evenHBand="0" w:firstRowFirstColumn="0" w:firstRowLastColumn="0" w:lastRowFirstColumn="0" w:lastRowLastColumn="0"/>
            <w:tcW w:w="3256" w:type="dxa"/>
          </w:tcPr>
          <w:p w:rsidR="00D17439" w:rsidRPr="001A05A8" w:rsidRDefault="00D17439" w:rsidP="00D17439">
            <w:pPr>
              <w:autoSpaceDE w:val="0"/>
              <w:autoSpaceDN w:val="0"/>
              <w:adjustRightInd w:val="0"/>
              <w:rPr>
                <w:rFonts w:ascii="Arial" w:hAnsi="Arial" w:cs="Arial"/>
                <w:color w:val="000000"/>
                <w:lang w:val="es-BO"/>
              </w:rPr>
            </w:pPr>
          </w:p>
          <w:p w:rsidR="00D17439" w:rsidRPr="001A05A8" w:rsidRDefault="00D17439" w:rsidP="00D17439">
            <w:pPr>
              <w:autoSpaceDE w:val="0"/>
              <w:autoSpaceDN w:val="0"/>
              <w:adjustRightInd w:val="0"/>
              <w:rPr>
                <w:rFonts w:ascii="Arial" w:hAnsi="Arial" w:cs="Arial"/>
                <w:lang w:val="es-BO"/>
              </w:rPr>
            </w:pPr>
            <w:r w:rsidRPr="001A05A8">
              <w:rPr>
                <w:rFonts w:ascii="Arial" w:hAnsi="Arial" w:cs="Arial"/>
                <w:color w:val="000000"/>
              </w:rPr>
              <w:t>4-5: Regular</w:t>
            </w:r>
          </w:p>
        </w:tc>
        <w:tc>
          <w:tcPr>
            <w:tcW w:w="5805" w:type="dxa"/>
          </w:tcPr>
          <w:p w:rsidR="00D17439" w:rsidRPr="001A05A8" w:rsidRDefault="00D17439" w:rsidP="00D1743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BO"/>
              </w:rPr>
            </w:pPr>
            <w:r w:rsidRPr="001A05A8">
              <w:rPr>
                <w:rFonts w:ascii="Arial" w:hAnsi="Arial" w:cs="Arial"/>
                <w:color w:val="000000"/>
                <w:lang w:val="es-BO"/>
              </w:rPr>
              <w:t xml:space="preserve">El proyecto presenta deficiencias en lo que hace a sus objetivos generales y particulares y/o es muy baja la probabilidad de alcanzar los mismos. </w:t>
            </w:r>
          </w:p>
        </w:tc>
      </w:tr>
      <w:tr w:rsidR="00D17439" w:rsidRPr="00B80977" w:rsidTr="001A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17439" w:rsidRPr="001A05A8" w:rsidRDefault="00D17439" w:rsidP="00D17439">
            <w:pPr>
              <w:autoSpaceDE w:val="0"/>
              <w:autoSpaceDN w:val="0"/>
              <w:adjustRightInd w:val="0"/>
              <w:rPr>
                <w:rFonts w:ascii="Arial" w:hAnsi="Arial" w:cs="Arial"/>
                <w:color w:val="000000"/>
                <w:lang w:val="es-BO"/>
              </w:rPr>
            </w:pPr>
          </w:p>
          <w:p w:rsidR="00D17439" w:rsidRPr="001A05A8" w:rsidRDefault="00D17439" w:rsidP="00D17439">
            <w:pPr>
              <w:autoSpaceDE w:val="0"/>
              <w:autoSpaceDN w:val="0"/>
              <w:adjustRightInd w:val="0"/>
              <w:rPr>
                <w:rFonts w:ascii="Arial" w:hAnsi="Arial" w:cs="Arial"/>
                <w:color w:val="000000"/>
                <w:lang w:val="es-BO"/>
              </w:rPr>
            </w:pPr>
          </w:p>
          <w:p w:rsidR="00D17439" w:rsidRPr="001A05A8" w:rsidRDefault="00D17439" w:rsidP="00D17439">
            <w:pPr>
              <w:autoSpaceDE w:val="0"/>
              <w:autoSpaceDN w:val="0"/>
              <w:adjustRightInd w:val="0"/>
              <w:rPr>
                <w:rFonts w:ascii="Arial" w:hAnsi="Arial" w:cs="Arial"/>
                <w:lang w:val="es-BO"/>
              </w:rPr>
            </w:pPr>
            <w:r w:rsidRPr="001A05A8">
              <w:rPr>
                <w:rFonts w:ascii="Arial" w:hAnsi="Arial" w:cs="Arial"/>
                <w:color w:val="000000"/>
              </w:rPr>
              <w:t>6-7: Bueno</w:t>
            </w:r>
          </w:p>
        </w:tc>
        <w:tc>
          <w:tcPr>
            <w:tcW w:w="5805" w:type="dxa"/>
          </w:tcPr>
          <w:p w:rsidR="00D17439" w:rsidRPr="001A05A8" w:rsidRDefault="00D17439" w:rsidP="00D1743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lang w:val="es-BO"/>
              </w:rPr>
            </w:pPr>
            <w:r w:rsidRPr="001A05A8">
              <w:rPr>
                <w:rFonts w:ascii="Arial" w:hAnsi="Arial" w:cs="Arial"/>
                <w:color w:val="000000"/>
                <w:lang w:val="es-BO"/>
              </w:rPr>
              <w:t>El balance entre el valor científico y/o tecnológico de los objetivos propuestos y la probabilidad de lograr los mismos, alcanzan el mínimo necesario para un desarrollo e impacto razonable del proyecto.</w:t>
            </w:r>
          </w:p>
        </w:tc>
      </w:tr>
      <w:tr w:rsidR="00D17439" w:rsidRPr="00B80977" w:rsidTr="001A05A8">
        <w:tc>
          <w:tcPr>
            <w:cnfStyle w:val="001000000000" w:firstRow="0" w:lastRow="0" w:firstColumn="1" w:lastColumn="0" w:oddVBand="0" w:evenVBand="0" w:oddHBand="0" w:evenHBand="0" w:firstRowFirstColumn="0" w:firstRowLastColumn="0" w:lastRowFirstColumn="0" w:lastRowLastColumn="0"/>
            <w:tcW w:w="3256" w:type="dxa"/>
          </w:tcPr>
          <w:p w:rsidR="00D17439" w:rsidRPr="001A05A8" w:rsidRDefault="00D17439" w:rsidP="00D17439">
            <w:pPr>
              <w:autoSpaceDE w:val="0"/>
              <w:autoSpaceDN w:val="0"/>
              <w:adjustRightInd w:val="0"/>
              <w:rPr>
                <w:rFonts w:ascii="Arial" w:hAnsi="Arial" w:cs="Arial"/>
                <w:color w:val="000000"/>
                <w:lang w:val="es-BO"/>
              </w:rPr>
            </w:pPr>
          </w:p>
          <w:p w:rsidR="00D17439" w:rsidRPr="001A05A8" w:rsidRDefault="00D17439" w:rsidP="00D17439">
            <w:pPr>
              <w:autoSpaceDE w:val="0"/>
              <w:autoSpaceDN w:val="0"/>
              <w:adjustRightInd w:val="0"/>
              <w:rPr>
                <w:rFonts w:ascii="Arial" w:hAnsi="Arial" w:cs="Arial"/>
                <w:lang w:val="es-BO"/>
              </w:rPr>
            </w:pPr>
            <w:r w:rsidRPr="001A05A8">
              <w:rPr>
                <w:rFonts w:ascii="Arial" w:hAnsi="Arial" w:cs="Arial"/>
                <w:color w:val="000000"/>
              </w:rPr>
              <w:t>8-9: Muy Bueno</w:t>
            </w:r>
          </w:p>
        </w:tc>
        <w:tc>
          <w:tcPr>
            <w:tcW w:w="5805" w:type="dxa"/>
          </w:tcPr>
          <w:p w:rsidR="00D17439" w:rsidRPr="001A05A8" w:rsidRDefault="00D17439" w:rsidP="00D1743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lang w:val="es-BO"/>
              </w:rPr>
            </w:pPr>
            <w:r w:rsidRPr="001A05A8">
              <w:rPr>
                <w:rFonts w:ascii="Arial" w:hAnsi="Arial" w:cs="Arial"/>
                <w:color w:val="000000"/>
                <w:lang w:val="es-BO"/>
              </w:rPr>
              <w:t>Los objetivos propuestos son de alto valor científico y/o tecnológico y la probabilidad de alcanzar los mismos es alta.</w:t>
            </w:r>
          </w:p>
        </w:tc>
      </w:tr>
      <w:tr w:rsidR="00D17439" w:rsidRPr="00B80977" w:rsidTr="001A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17439" w:rsidRPr="001A05A8" w:rsidRDefault="00D17439" w:rsidP="00D17439">
            <w:pPr>
              <w:autoSpaceDE w:val="0"/>
              <w:autoSpaceDN w:val="0"/>
              <w:adjustRightInd w:val="0"/>
              <w:rPr>
                <w:rFonts w:ascii="Arial" w:hAnsi="Arial" w:cs="Arial"/>
                <w:color w:val="000000"/>
                <w:lang w:val="es-BO"/>
              </w:rPr>
            </w:pPr>
          </w:p>
          <w:p w:rsidR="00D17439" w:rsidRPr="001A05A8" w:rsidRDefault="00D17439" w:rsidP="00D17439">
            <w:pPr>
              <w:autoSpaceDE w:val="0"/>
              <w:autoSpaceDN w:val="0"/>
              <w:adjustRightInd w:val="0"/>
              <w:rPr>
                <w:rFonts w:ascii="Arial" w:hAnsi="Arial" w:cs="Arial"/>
                <w:lang w:val="es-BO"/>
              </w:rPr>
            </w:pPr>
            <w:r w:rsidRPr="001A05A8">
              <w:rPr>
                <w:rFonts w:ascii="Arial" w:hAnsi="Arial" w:cs="Arial"/>
                <w:color w:val="000000"/>
              </w:rPr>
              <w:t>10: Excelente</w:t>
            </w:r>
          </w:p>
        </w:tc>
        <w:tc>
          <w:tcPr>
            <w:tcW w:w="5805" w:type="dxa"/>
          </w:tcPr>
          <w:p w:rsidR="00D17439" w:rsidRPr="001A05A8" w:rsidRDefault="00D17439" w:rsidP="00D1743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lang w:val="es-BO"/>
              </w:rPr>
            </w:pPr>
            <w:r w:rsidRPr="001A05A8">
              <w:rPr>
                <w:rFonts w:ascii="Arial" w:hAnsi="Arial" w:cs="Arial"/>
                <w:color w:val="000000"/>
                <w:lang w:val="es-BO"/>
              </w:rPr>
              <w:t>Los objetivos propuestos son de excepcional valor científico y/o tecnológico y la probabilidad de alcanzar los mismos es alta.</w:t>
            </w:r>
          </w:p>
        </w:tc>
      </w:tr>
    </w:tbl>
    <w:p w:rsidR="00D17439" w:rsidRPr="001A05A8" w:rsidRDefault="00D17439" w:rsidP="00D17439">
      <w:pPr>
        <w:autoSpaceDE w:val="0"/>
        <w:autoSpaceDN w:val="0"/>
        <w:adjustRightInd w:val="0"/>
        <w:spacing w:after="0" w:line="240" w:lineRule="auto"/>
        <w:rPr>
          <w:rFonts w:ascii="Arial" w:hAnsi="Arial" w:cs="Arial"/>
          <w:lang w:val="es-BO"/>
        </w:rPr>
      </w:pPr>
    </w:p>
    <w:p w:rsidR="00D17439" w:rsidRPr="00526208" w:rsidRDefault="00D17439" w:rsidP="00D17439">
      <w:pPr>
        <w:autoSpaceDE w:val="0"/>
        <w:autoSpaceDN w:val="0"/>
        <w:adjustRightInd w:val="0"/>
        <w:spacing w:after="0" w:line="240" w:lineRule="auto"/>
        <w:jc w:val="both"/>
        <w:rPr>
          <w:rFonts w:ascii="Arial" w:hAnsi="Arial" w:cs="Arial"/>
          <w:sz w:val="24"/>
          <w:szCs w:val="24"/>
          <w:lang w:val="es-BO"/>
        </w:rPr>
      </w:pPr>
      <w:r w:rsidRPr="00526208">
        <w:rPr>
          <w:rFonts w:ascii="Arial" w:hAnsi="Arial" w:cs="Arial"/>
          <w:bCs/>
          <w:sz w:val="24"/>
          <w:szCs w:val="24"/>
          <w:lang w:val="es-BO"/>
        </w:rPr>
        <w:t xml:space="preserve">En ningún caso podrán subsidiarse (financiarse) proyectos </w:t>
      </w:r>
      <w:r w:rsidR="00C74F4B">
        <w:rPr>
          <w:rFonts w:ascii="Arial" w:hAnsi="Arial" w:cs="Arial"/>
          <w:bCs/>
          <w:sz w:val="24"/>
          <w:szCs w:val="24"/>
          <w:lang w:val="es-BO"/>
        </w:rPr>
        <w:t>que en su evaluación global de c</w:t>
      </w:r>
      <w:r w:rsidRPr="00526208">
        <w:rPr>
          <w:rFonts w:ascii="Arial" w:hAnsi="Arial" w:cs="Arial"/>
          <w:bCs/>
          <w:sz w:val="24"/>
          <w:szCs w:val="24"/>
          <w:lang w:val="es-BO"/>
        </w:rPr>
        <w:t>alidad, obtengan una calificación menor a Bueno</w:t>
      </w:r>
      <w:r w:rsidR="002E2D94" w:rsidRPr="00526208">
        <w:rPr>
          <w:rFonts w:ascii="Arial" w:hAnsi="Arial" w:cs="Arial"/>
          <w:bCs/>
          <w:sz w:val="24"/>
          <w:szCs w:val="24"/>
          <w:lang w:val="es-BO"/>
        </w:rPr>
        <w:t xml:space="preserve"> (menor a 6 puntos)</w:t>
      </w:r>
      <w:r w:rsidRPr="00526208">
        <w:rPr>
          <w:rFonts w:ascii="Arial" w:hAnsi="Arial" w:cs="Arial"/>
          <w:bCs/>
          <w:sz w:val="24"/>
          <w:szCs w:val="24"/>
          <w:lang w:val="es-BO"/>
        </w:rPr>
        <w:t>.</w:t>
      </w:r>
    </w:p>
    <w:p w:rsidR="00D17439" w:rsidRDefault="00D17439" w:rsidP="00D17439">
      <w:pPr>
        <w:autoSpaceDE w:val="0"/>
        <w:autoSpaceDN w:val="0"/>
        <w:adjustRightInd w:val="0"/>
        <w:spacing w:after="0" w:line="240" w:lineRule="auto"/>
        <w:rPr>
          <w:rFonts w:ascii="Arial" w:hAnsi="Arial" w:cs="Arial"/>
          <w:sz w:val="24"/>
          <w:szCs w:val="24"/>
          <w:lang w:val="es-BO"/>
        </w:rPr>
      </w:pPr>
    </w:p>
    <w:p w:rsidR="00BE08D1" w:rsidRPr="00526208" w:rsidRDefault="00BE08D1" w:rsidP="00D17439">
      <w:pPr>
        <w:autoSpaceDE w:val="0"/>
        <w:autoSpaceDN w:val="0"/>
        <w:adjustRightInd w:val="0"/>
        <w:spacing w:after="0" w:line="240" w:lineRule="auto"/>
        <w:rPr>
          <w:rFonts w:ascii="Arial" w:hAnsi="Arial" w:cs="Arial"/>
          <w:sz w:val="24"/>
          <w:szCs w:val="24"/>
          <w:lang w:val="es-BO"/>
        </w:rPr>
      </w:pPr>
    </w:p>
    <w:p w:rsidR="002E2D94" w:rsidRPr="00526208" w:rsidRDefault="00C74F4B" w:rsidP="006F6142">
      <w:pPr>
        <w:pStyle w:val="Ttulo3"/>
        <w:rPr>
          <w:lang w:val="es-BO"/>
        </w:rPr>
      </w:pPr>
      <w:bookmarkStart w:id="23" w:name="_Toc471887293"/>
      <w:r>
        <w:rPr>
          <w:lang w:val="es-BO"/>
        </w:rPr>
        <w:t xml:space="preserve">10.4.3 </w:t>
      </w:r>
      <w:r w:rsidR="00BE08D1">
        <w:rPr>
          <w:lang w:val="es-BO"/>
        </w:rPr>
        <w:t xml:space="preserve">Aspectos </w:t>
      </w:r>
      <w:r w:rsidR="002E2D94" w:rsidRPr="00526208">
        <w:rPr>
          <w:lang w:val="es-BO"/>
        </w:rPr>
        <w:t>étic</w:t>
      </w:r>
      <w:r w:rsidR="00BE08D1">
        <w:rPr>
          <w:lang w:val="es-BO"/>
        </w:rPr>
        <w:t>os</w:t>
      </w:r>
      <w:r w:rsidR="002E2D94" w:rsidRPr="00526208">
        <w:rPr>
          <w:lang w:val="es-BO"/>
        </w:rPr>
        <w:t xml:space="preserve"> y </w:t>
      </w:r>
      <w:r w:rsidR="00BE08D1">
        <w:rPr>
          <w:lang w:val="es-BO"/>
        </w:rPr>
        <w:t xml:space="preserve">salvaguarda </w:t>
      </w:r>
      <w:r w:rsidR="002E2D94" w:rsidRPr="00526208">
        <w:rPr>
          <w:lang w:val="es-BO"/>
        </w:rPr>
        <w:t>ambiental</w:t>
      </w:r>
      <w:bookmarkEnd w:id="23"/>
      <w:r w:rsidR="002E2D94" w:rsidRPr="00526208">
        <w:rPr>
          <w:lang w:val="es-BO"/>
        </w:rPr>
        <w:t xml:space="preserve"> </w:t>
      </w:r>
    </w:p>
    <w:p w:rsidR="002E2D94" w:rsidRPr="00526208" w:rsidRDefault="002E2D94" w:rsidP="002E2D94">
      <w:pPr>
        <w:pStyle w:val="Default"/>
        <w:jc w:val="both"/>
        <w:rPr>
          <w:lang w:val="es-BO"/>
        </w:rPr>
      </w:pPr>
    </w:p>
    <w:p w:rsidR="002E2D94" w:rsidRPr="00526208" w:rsidRDefault="002E2D94" w:rsidP="002E2D94">
      <w:pPr>
        <w:pStyle w:val="Default"/>
        <w:jc w:val="both"/>
        <w:rPr>
          <w:lang w:val="es-BO"/>
        </w:rPr>
      </w:pPr>
      <w:r w:rsidRPr="00526208">
        <w:rPr>
          <w:lang w:val="es-BO"/>
        </w:rPr>
        <w:t>Se solicitará también a los pares que se expidan respecto a si los proyectos, durante su desarrollo o a través de los resultados previstos, pueden generar impactos ambientales desfavorables, no respetar las normas de bioética vigentes, ser discriminatorios respecto de etnia, religión o género u orientarse a generar tecnologías o productos bélicos.</w:t>
      </w:r>
    </w:p>
    <w:p w:rsidR="005F1D54" w:rsidRPr="00526208" w:rsidRDefault="005F1D54" w:rsidP="002E2D94">
      <w:pPr>
        <w:pStyle w:val="Default"/>
        <w:jc w:val="both"/>
        <w:rPr>
          <w:lang w:val="es-BO"/>
        </w:rPr>
      </w:pPr>
    </w:p>
    <w:p w:rsidR="0085268C" w:rsidRPr="0085268C" w:rsidRDefault="002E2D94" w:rsidP="0085268C">
      <w:pPr>
        <w:pStyle w:val="Default"/>
        <w:jc w:val="both"/>
        <w:rPr>
          <w:b/>
          <w:lang w:val="es-BO"/>
        </w:rPr>
      </w:pPr>
      <w:r w:rsidRPr="00526208">
        <w:rPr>
          <w:lang w:val="es-BO"/>
        </w:rPr>
        <w:t xml:space="preserve"> </w:t>
      </w:r>
    </w:p>
    <w:p w:rsidR="002E2D94" w:rsidRPr="0085268C" w:rsidRDefault="0085268C" w:rsidP="006F6142">
      <w:pPr>
        <w:pStyle w:val="Ttulo2"/>
        <w:rPr>
          <w:lang w:val="es-BO"/>
        </w:rPr>
      </w:pPr>
      <w:bookmarkStart w:id="24" w:name="_Toc471887294"/>
      <w:r w:rsidRPr="0085268C">
        <w:rPr>
          <w:lang w:val="es-BO"/>
        </w:rPr>
        <w:t xml:space="preserve">10.5 </w:t>
      </w:r>
      <w:r w:rsidR="002E2D94" w:rsidRPr="00526208">
        <w:rPr>
          <w:lang w:val="es-BO"/>
        </w:rPr>
        <w:t>Revisión de la Comisión de Revisión</w:t>
      </w:r>
      <w:bookmarkEnd w:id="24"/>
    </w:p>
    <w:p w:rsidR="002E2D94" w:rsidRPr="00526208" w:rsidRDefault="002E2D94" w:rsidP="002E2D94">
      <w:pPr>
        <w:pStyle w:val="Default"/>
        <w:jc w:val="both"/>
        <w:rPr>
          <w:lang w:val="es-BO"/>
        </w:rPr>
      </w:pPr>
    </w:p>
    <w:p w:rsidR="002E2D94" w:rsidRPr="00526208" w:rsidRDefault="002E2D94" w:rsidP="002E2D94">
      <w:pPr>
        <w:pStyle w:val="Default"/>
        <w:jc w:val="both"/>
        <w:rPr>
          <w:color w:val="auto"/>
          <w:lang w:val="es-BO"/>
        </w:rPr>
      </w:pPr>
      <w:r w:rsidRPr="00526208">
        <w:rPr>
          <w:lang w:val="es-BO"/>
        </w:rPr>
        <w:t xml:space="preserve">Para el establecimiento del mérito de los proyectos presentados se conforman Comisiones de Revisión con </w:t>
      </w:r>
      <w:r w:rsidR="00BE08D1">
        <w:rPr>
          <w:lang w:val="es-BO"/>
        </w:rPr>
        <w:t>integrantes del Concejo Científico y el Coordinador que es responsable de la convocatoria</w:t>
      </w:r>
      <w:r w:rsidRPr="00526208">
        <w:rPr>
          <w:lang w:val="es-BO"/>
        </w:rPr>
        <w:t>, designados por el Director</w:t>
      </w:r>
      <w:r w:rsidR="00BE08D1">
        <w:rPr>
          <w:lang w:val="es-BO"/>
        </w:rPr>
        <w:t xml:space="preserve"> Ejecutivo de la ANUCTI</w:t>
      </w:r>
      <w:r w:rsidRPr="00526208">
        <w:rPr>
          <w:lang w:val="es-BO"/>
        </w:rPr>
        <w:t>. Estas Comisione</w:t>
      </w:r>
      <w:r w:rsidR="00056C9A" w:rsidRPr="00526208">
        <w:rPr>
          <w:lang w:val="es-BO"/>
        </w:rPr>
        <w:t>s</w:t>
      </w:r>
      <w:r w:rsidRPr="00526208">
        <w:rPr>
          <w:lang w:val="es-BO"/>
        </w:rPr>
        <w:t xml:space="preserve"> deberán analizar las evaluac</w:t>
      </w:r>
      <w:r w:rsidR="00BE08D1">
        <w:rPr>
          <w:lang w:val="es-BO"/>
        </w:rPr>
        <w:t>iones de los proyectos o</w:t>
      </w:r>
      <w:r w:rsidRPr="00526208">
        <w:rPr>
          <w:lang w:val="es-BO"/>
        </w:rPr>
        <w:t>bservados por la Coordinación u</w:t>
      </w:r>
      <w:r w:rsidRPr="00526208">
        <w:rPr>
          <w:color w:val="auto"/>
          <w:lang w:val="es-BO"/>
        </w:rPr>
        <w:t xml:space="preserve"> otros proyectos que considere necesario revisar. En esta revisión deberán </w:t>
      </w:r>
      <w:r w:rsidR="00056C9A" w:rsidRPr="00526208">
        <w:rPr>
          <w:color w:val="auto"/>
          <w:lang w:val="es-BO"/>
        </w:rPr>
        <w:t>proponer una nueva calificación en la escala antes mencionada.</w:t>
      </w:r>
    </w:p>
    <w:p w:rsidR="002E2D94" w:rsidRPr="00526208" w:rsidRDefault="002E2D94" w:rsidP="002E2D94">
      <w:pPr>
        <w:pStyle w:val="Default"/>
        <w:jc w:val="both"/>
        <w:rPr>
          <w:color w:val="auto"/>
          <w:lang w:val="es-BO"/>
        </w:rPr>
      </w:pPr>
      <w:r w:rsidRPr="00526208">
        <w:rPr>
          <w:color w:val="auto"/>
          <w:lang w:val="es-BO"/>
        </w:rPr>
        <w:t xml:space="preserve"> </w:t>
      </w:r>
    </w:p>
    <w:p w:rsidR="002E2D94" w:rsidRPr="00526208" w:rsidRDefault="002E2D94" w:rsidP="002E2D94">
      <w:pPr>
        <w:pStyle w:val="Default"/>
        <w:jc w:val="both"/>
        <w:rPr>
          <w:color w:val="auto"/>
          <w:lang w:val="es-BO"/>
        </w:rPr>
      </w:pPr>
      <w:r w:rsidRPr="00526208">
        <w:rPr>
          <w:color w:val="auto"/>
          <w:lang w:val="es-BO"/>
        </w:rPr>
        <w:lastRenderedPageBreak/>
        <w:t xml:space="preserve">Para analizar la </w:t>
      </w:r>
      <w:r w:rsidRPr="00BE08D1">
        <w:rPr>
          <w:b/>
          <w:bCs/>
          <w:iCs/>
          <w:color w:val="auto"/>
          <w:lang w:val="es-BO"/>
        </w:rPr>
        <w:t>pertinencia</w:t>
      </w:r>
      <w:r w:rsidRPr="00526208">
        <w:rPr>
          <w:b/>
          <w:bCs/>
          <w:i/>
          <w:iCs/>
          <w:color w:val="auto"/>
          <w:lang w:val="es-BO"/>
        </w:rPr>
        <w:t xml:space="preserve"> </w:t>
      </w:r>
      <w:r w:rsidRPr="00526208">
        <w:rPr>
          <w:color w:val="auto"/>
          <w:lang w:val="es-BO"/>
        </w:rPr>
        <w:t>de los</w:t>
      </w:r>
      <w:r w:rsidR="00BE08D1">
        <w:rPr>
          <w:color w:val="auto"/>
          <w:lang w:val="es-BO"/>
        </w:rPr>
        <w:t xml:space="preserve"> proyectos presentados, estas Comisiones de Revisión </w:t>
      </w:r>
      <w:r w:rsidRPr="00526208">
        <w:rPr>
          <w:color w:val="auto"/>
          <w:lang w:val="es-BO"/>
        </w:rPr>
        <w:t xml:space="preserve">podrán utilizar, para cada Categoría y de acuerdo a la aplicabilidad de los mismos, los siguientes criterios: </w:t>
      </w:r>
    </w:p>
    <w:p w:rsidR="00056C9A" w:rsidRDefault="00056C9A" w:rsidP="002E2D94">
      <w:pPr>
        <w:pStyle w:val="Default"/>
        <w:jc w:val="both"/>
        <w:rPr>
          <w:color w:val="auto"/>
          <w:lang w:val="es-BO"/>
        </w:rPr>
      </w:pPr>
    </w:p>
    <w:p w:rsidR="001D752D" w:rsidRDefault="001D752D" w:rsidP="002E2D94">
      <w:pPr>
        <w:pStyle w:val="Default"/>
        <w:jc w:val="both"/>
        <w:rPr>
          <w:color w:val="auto"/>
          <w:lang w:val="es-BO"/>
        </w:rPr>
      </w:pPr>
    </w:p>
    <w:p w:rsidR="001D752D" w:rsidRPr="00526208" w:rsidRDefault="001D752D" w:rsidP="002E2D94">
      <w:pPr>
        <w:pStyle w:val="Default"/>
        <w:jc w:val="both"/>
        <w:rPr>
          <w:color w:val="auto"/>
          <w:lang w:val="es-BO"/>
        </w:rPr>
      </w:pPr>
    </w:p>
    <w:p w:rsidR="002E2D94" w:rsidRPr="00BE08D1" w:rsidRDefault="002E2D94" w:rsidP="004C1048">
      <w:pPr>
        <w:pStyle w:val="Default"/>
        <w:numPr>
          <w:ilvl w:val="0"/>
          <w:numId w:val="19"/>
        </w:numPr>
        <w:spacing w:after="17"/>
        <w:jc w:val="both"/>
        <w:rPr>
          <w:color w:val="auto"/>
          <w:lang w:val="es-BO"/>
        </w:rPr>
      </w:pPr>
      <w:r w:rsidRPr="00526208">
        <w:rPr>
          <w:b/>
          <w:bCs/>
          <w:color w:val="auto"/>
          <w:lang w:val="es-BO"/>
        </w:rPr>
        <w:t xml:space="preserve">Criterios de pertinencia generales: </w:t>
      </w:r>
    </w:p>
    <w:p w:rsidR="00BE08D1" w:rsidRPr="00526208" w:rsidRDefault="00BE08D1" w:rsidP="00BE08D1">
      <w:pPr>
        <w:pStyle w:val="Default"/>
        <w:spacing w:after="17"/>
        <w:ind w:left="720"/>
        <w:jc w:val="both"/>
        <w:rPr>
          <w:color w:val="auto"/>
          <w:lang w:val="es-BO"/>
        </w:rPr>
      </w:pPr>
    </w:p>
    <w:p w:rsidR="002E2D94" w:rsidRPr="00526208" w:rsidRDefault="002E2D94" w:rsidP="004C1048">
      <w:pPr>
        <w:pStyle w:val="Default"/>
        <w:numPr>
          <w:ilvl w:val="1"/>
          <w:numId w:val="18"/>
        </w:numPr>
        <w:spacing w:after="17"/>
        <w:jc w:val="both"/>
        <w:rPr>
          <w:color w:val="auto"/>
          <w:lang w:val="es-BO"/>
        </w:rPr>
      </w:pPr>
      <w:r w:rsidRPr="00526208">
        <w:rPr>
          <w:color w:val="auto"/>
          <w:lang w:val="es-BO"/>
        </w:rPr>
        <w:t xml:space="preserve">Impacto sobre las capacidades institucionales en Investigación y Desarrollo. </w:t>
      </w:r>
    </w:p>
    <w:p w:rsidR="002E2D94" w:rsidRPr="00526208" w:rsidRDefault="002E2D94" w:rsidP="004C1048">
      <w:pPr>
        <w:pStyle w:val="Default"/>
        <w:numPr>
          <w:ilvl w:val="1"/>
          <w:numId w:val="18"/>
        </w:numPr>
        <w:spacing w:after="17"/>
        <w:jc w:val="both"/>
        <w:rPr>
          <w:color w:val="auto"/>
          <w:lang w:val="es-BO"/>
        </w:rPr>
      </w:pPr>
      <w:r w:rsidRPr="00526208">
        <w:rPr>
          <w:color w:val="auto"/>
          <w:lang w:val="es-BO"/>
        </w:rPr>
        <w:t xml:space="preserve">Impacto sobre las áreas disciplinares o campos de aplicación. </w:t>
      </w:r>
    </w:p>
    <w:p w:rsidR="002E2D94" w:rsidRPr="00526208" w:rsidRDefault="002E2D94" w:rsidP="004C1048">
      <w:pPr>
        <w:pStyle w:val="Default"/>
        <w:numPr>
          <w:ilvl w:val="1"/>
          <w:numId w:val="18"/>
        </w:numPr>
        <w:spacing w:after="17"/>
        <w:jc w:val="both"/>
        <w:rPr>
          <w:color w:val="auto"/>
          <w:lang w:val="es-BO"/>
        </w:rPr>
      </w:pPr>
      <w:r w:rsidRPr="00526208">
        <w:rPr>
          <w:color w:val="auto"/>
          <w:lang w:val="es-BO"/>
        </w:rPr>
        <w:t xml:space="preserve">Impacto sobre el sector socio-comunitario y/o el sector productivo. </w:t>
      </w:r>
    </w:p>
    <w:p w:rsidR="002E2D94" w:rsidRPr="00526208" w:rsidRDefault="002E2D94" w:rsidP="004C1048">
      <w:pPr>
        <w:pStyle w:val="Default"/>
        <w:numPr>
          <w:ilvl w:val="1"/>
          <w:numId w:val="18"/>
        </w:numPr>
        <w:jc w:val="both"/>
        <w:rPr>
          <w:color w:val="auto"/>
          <w:lang w:val="es-BO"/>
        </w:rPr>
      </w:pPr>
      <w:r w:rsidRPr="00526208">
        <w:rPr>
          <w:color w:val="auto"/>
          <w:lang w:val="es-BO"/>
        </w:rPr>
        <w:t xml:space="preserve">Equilibrio de la distribución de los fondos. </w:t>
      </w:r>
    </w:p>
    <w:p w:rsidR="002E2D94" w:rsidRPr="00526208" w:rsidRDefault="002E2D94" w:rsidP="002E2D94">
      <w:pPr>
        <w:pStyle w:val="Default"/>
        <w:jc w:val="both"/>
        <w:rPr>
          <w:color w:val="auto"/>
          <w:lang w:val="es-BO"/>
        </w:rPr>
      </w:pPr>
    </w:p>
    <w:p w:rsidR="002E2D94" w:rsidRPr="00526208" w:rsidRDefault="002E2D94" w:rsidP="002E2D94">
      <w:pPr>
        <w:pStyle w:val="Default"/>
        <w:jc w:val="both"/>
        <w:rPr>
          <w:color w:val="auto"/>
          <w:lang w:val="es-BO"/>
        </w:rPr>
      </w:pPr>
      <w:r w:rsidRPr="00526208">
        <w:rPr>
          <w:color w:val="auto"/>
          <w:lang w:val="es-BO"/>
        </w:rPr>
        <w:t>Asimismo, se podrán aplicar otros criterios que considere la C</w:t>
      </w:r>
      <w:r w:rsidR="00056C9A" w:rsidRPr="00526208">
        <w:rPr>
          <w:color w:val="auto"/>
          <w:lang w:val="es-BO"/>
        </w:rPr>
        <w:t xml:space="preserve">omisión de Revisión </w:t>
      </w:r>
      <w:r w:rsidRPr="00526208">
        <w:rPr>
          <w:color w:val="auto"/>
          <w:lang w:val="es-BO"/>
        </w:rPr>
        <w:t xml:space="preserve">y que sean consistentes con los criterios generales. </w:t>
      </w:r>
    </w:p>
    <w:p w:rsidR="00056C9A" w:rsidRPr="00526208" w:rsidRDefault="00056C9A" w:rsidP="002E2D94">
      <w:pPr>
        <w:pStyle w:val="Default"/>
        <w:jc w:val="both"/>
        <w:rPr>
          <w:color w:val="auto"/>
          <w:lang w:val="es-BO"/>
        </w:rPr>
      </w:pPr>
    </w:p>
    <w:p w:rsidR="002E2D94" w:rsidRPr="00BE08D1" w:rsidRDefault="002E2D94" w:rsidP="004C1048">
      <w:pPr>
        <w:pStyle w:val="Default"/>
        <w:numPr>
          <w:ilvl w:val="0"/>
          <w:numId w:val="19"/>
        </w:numPr>
        <w:spacing w:after="17"/>
        <w:jc w:val="both"/>
        <w:rPr>
          <w:color w:val="auto"/>
          <w:lang w:val="es-BO"/>
        </w:rPr>
      </w:pPr>
      <w:r w:rsidRPr="00526208">
        <w:rPr>
          <w:b/>
          <w:bCs/>
          <w:color w:val="auto"/>
          <w:lang w:val="es-BO"/>
        </w:rPr>
        <w:t xml:space="preserve">Criterios de pertinencia complementarios para los proyectos </w:t>
      </w:r>
      <w:r w:rsidR="00056C9A" w:rsidRPr="00526208">
        <w:rPr>
          <w:b/>
          <w:bCs/>
          <w:color w:val="auto"/>
          <w:lang w:val="es-BO"/>
        </w:rPr>
        <w:t>con el Plan Nacional</w:t>
      </w:r>
      <w:r w:rsidR="00BE08D1">
        <w:rPr>
          <w:b/>
          <w:bCs/>
          <w:color w:val="auto"/>
          <w:lang w:val="es-BO"/>
        </w:rPr>
        <w:t>, los Planes Regionales</w:t>
      </w:r>
      <w:r w:rsidR="00056C9A" w:rsidRPr="00526208">
        <w:rPr>
          <w:b/>
          <w:bCs/>
          <w:color w:val="auto"/>
          <w:lang w:val="es-BO"/>
        </w:rPr>
        <w:t xml:space="preserve"> de Ciencia, Tecnología e Innovación</w:t>
      </w:r>
      <w:r w:rsidR="00BE08D1">
        <w:rPr>
          <w:b/>
          <w:bCs/>
          <w:color w:val="auto"/>
          <w:lang w:val="es-BO"/>
        </w:rPr>
        <w:t>:</w:t>
      </w:r>
    </w:p>
    <w:p w:rsidR="00BE08D1" w:rsidRPr="00526208" w:rsidRDefault="00BE08D1" w:rsidP="00BE08D1">
      <w:pPr>
        <w:pStyle w:val="Default"/>
        <w:spacing w:after="17"/>
        <w:ind w:left="720"/>
        <w:jc w:val="both"/>
        <w:rPr>
          <w:color w:val="auto"/>
          <w:lang w:val="es-BO"/>
        </w:rPr>
      </w:pPr>
    </w:p>
    <w:p w:rsidR="002E2D94" w:rsidRPr="00526208" w:rsidRDefault="002E2D94" w:rsidP="004C1048">
      <w:pPr>
        <w:pStyle w:val="Default"/>
        <w:numPr>
          <w:ilvl w:val="1"/>
          <w:numId w:val="20"/>
        </w:numPr>
        <w:spacing w:after="17"/>
        <w:jc w:val="both"/>
        <w:rPr>
          <w:color w:val="auto"/>
          <w:lang w:val="es-BO"/>
        </w:rPr>
      </w:pPr>
      <w:r w:rsidRPr="00526208">
        <w:rPr>
          <w:color w:val="auto"/>
          <w:lang w:val="es-BO"/>
        </w:rPr>
        <w:t xml:space="preserve">Justificación de la Temática Estratégica seleccionada. </w:t>
      </w:r>
    </w:p>
    <w:p w:rsidR="002E2D94" w:rsidRPr="00526208" w:rsidRDefault="002E2D94" w:rsidP="004C1048">
      <w:pPr>
        <w:pStyle w:val="Default"/>
        <w:numPr>
          <w:ilvl w:val="1"/>
          <w:numId w:val="20"/>
        </w:numPr>
        <w:spacing w:after="17"/>
        <w:jc w:val="both"/>
        <w:rPr>
          <w:color w:val="auto"/>
          <w:lang w:val="es-BO"/>
        </w:rPr>
      </w:pPr>
      <w:r w:rsidRPr="00526208">
        <w:rPr>
          <w:color w:val="auto"/>
          <w:lang w:val="es-BO"/>
        </w:rPr>
        <w:t xml:space="preserve">Impacto social, económico y/o productivo de los resultados del proyecto. </w:t>
      </w:r>
    </w:p>
    <w:p w:rsidR="002E2D94" w:rsidRPr="00526208" w:rsidRDefault="002E2D94" w:rsidP="004C1048">
      <w:pPr>
        <w:pStyle w:val="Default"/>
        <w:numPr>
          <w:ilvl w:val="1"/>
          <w:numId w:val="20"/>
        </w:numPr>
        <w:spacing w:after="17"/>
        <w:jc w:val="both"/>
        <w:rPr>
          <w:color w:val="auto"/>
          <w:lang w:val="es-BO"/>
        </w:rPr>
      </w:pPr>
      <w:r w:rsidRPr="00526208">
        <w:rPr>
          <w:color w:val="auto"/>
          <w:lang w:val="es-BO"/>
        </w:rPr>
        <w:t xml:space="preserve">Razonable distribución de los subsidios entre las distintas regiones geográficas del país. </w:t>
      </w:r>
    </w:p>
    <w:p w:rsidR="002E2D94" w:rsidRPr="00526208" w:rsidRDefault="002E2D94" w:rsidP="004C1048">
      <w:pPr>
        <w:pStyle w:val="Default"/>
        <w:numPr>
          <w:ilvl w:val="1"/>
          <w:numId w:val="20"/>
        </w:numPr>
        <w:jc w:val="both"/>
        <w:rPr>
          <w:color w:val="auto"/>
          <w:lang w:val="es-BO"/>
        </w:rPr>
      </w:pPr>
      <w:r w:rsidRPr="00526208">
        <w:rPr>
          <w:color w:val="auto"/>
          <w:lang w:val="es-BO"/>
        </w:rPr>
        <w:t xml:space="preserve">Equilibrio entre las diferentes Temáticas Estratégicas. </w:t>
      </w:r>
    </w:p>
    <w:p w:rsidR="002E2D94" w:rsidRPr="00526208" w:rsidRDefault="002E2D94" w:rsidP="002E2D94">
      <w:pPr>
        <w:pStyle w:val="Default"/>
        <w:jc w:val="both"/>
        <w:rPr>
          <w:color w:val="auto"/>
          <w:lang w:val="es-BO"/>
        </w:rPr>
      </w:pPr>
    </w:p>
    <w:p w:rsidR="002E2D94" w:rsidRPr="00526208" w:rsidRDefault="002E2D94" w:rsidP="002E2D94">
      <w:pPr>
        <w:pStyle w:val="Default"/>
        <w:jc w:val="both"/>
        <w:rPr>
          <w:color w:val="auto"/>
          <w:lang w:val="es-BO"/>
        </w:rPr>
      </w:pPr>
      <w:r w:rsidRPr="00526208">
        <w:rPr>
          <w:color w:val="auto"/>
          <w:lang w:val="es-BO"/>
        </w:rPr>
        <w:t xml:space="preserve">Finalmente, el mérito surgirá como resultado de la compatibilización de la evaluación de la calidad científico-tecnológica realizada por los pares, de la revisión que de la Comisión de Revisión y de la aplicación de los criterios de pertinencia, según el tipo de proyecto y categoría. </w:t>
      </w:r>
    </w:p>
    <w:p w:rsidR="002E2D94" w:rsidRPr="00526208" w:rsidRDefault="002E2D94" w:rsidP="002E2D94">
      <w:pPr>
        <w:pStyle w:val="Default"/>
        <w:jc w:val="both"/>
        <w:rPr>
          <w:b/>
          <w:bCs/>
          <w:color w:val="auto"/>
          <w:lang w:val="es-BO"/>
        </w:rPr>
      </w:pPr>
    </w:p>
    <w:p w:rsidR="005F1D54" w:rsidRPr="00526208" w:rsidRDefault="005F1D54" w:rsidP="002E2D94">
      <w:pPr>
        <w:pStyle w:val="Default"/>
        <w:jc w:val="both"/>
        <w:rPr>
          <w:b/>
          <w:bCs/>
          <w:color w:val="auto"/>
          <w:lang w:val="es-BO"/>
        </w:rPr>
      </w:pPr>
    </w:p>
    <w:p w:rsidR="002E2D94" w:rsidRPr="00526208" w:rsidRDefault="0085268C" w:rsidP="006F6142">
      <w:pPr>
        <w:pStyle w:val="Ttulo2"/>
        <w:rPr>
          <w:lang w:val="es-BO"/>
        </w:rPr>
      </w:pPr>
      <w:bookmarkStart w:id="25" w:name="_Toc471887295"/>
      <w:r>
        <w:rPr>
          <w:lang w:val="es-BO"/>
        </w:rPr>
        <w:t xml:space="preserve">10.6 </w:t>
      </w:r>
      <w:r w:rsidR="002E2D94" w:rsidRPr="00526208">
        <w:rPr>
          <w:lang w:val="es-BO"/>
        </w:rPr>
        <w:t>Adjudicación</w:t>
      </w:r>
      <w:bookmarkEnd w:id="25"/>
      <w:r w:rsidR="002E2D94" w:rsidRPr="00526208">
        <w:rPr>
          <w:lang w:val="es-BO"/>
        </w:rPr>
        <w:t xml:space="preserve"> </w:t>
      </w:r>
    </w:p>
    <w:p w:rsidR="002E2D94" w:rsidRPr="00526208" w:rsidRDefault="002E2D94" w:rsidP="002E2D94">
      <w:pPr>
        <w:pStyle w:val="Default"/>
        <w:jc w:val="both"/>
        <w:rPr>
          <w:color w:val="auto"/>
          <w:lang w:val="es-BO"/>
        </w:rPr>
      </w:pPr>
    </w:p>
    <w:p w:rsidR="002E2D94" w:rsidRPr="00526208" w:rsidRDefault="002E2D94" w:rsidP="002E2D94">
      <w:pPr>
        <w:pStyle w:val="Default"/>
        <w:jc w:val="both"/>
        <w:rPr>
          <w:b/>
          <w:bCs/>
          <w:color w:val="auto"/>
          <w:lang w:val="es-BO"/>
        </w:rPr>
      </w:pPr>
      <w:r w:rsidRPr="00526208">
        <w:rPr>
          <w:color w:val="auto"/>
          <w:lang w:val="es-BO"/>
        </w:rPr>
        <w:t xml:space="preserve">En base a lo actuado </w:t>
      </w:r>
      <w:r w:rsidR="00056C9A" w:rsidRPr="00526208">
        <w:rPr>
          <w:color w:val="auto"/>
          <w:lang w:val="es-BO"/>
        </w:rPr>
        <w:t xml:space="preserve">por las </w:t>
      </w:r>
      <w:r w:rsidRPr="00526208">
        <w:rPr>
          <w:color w:val="auto"/>
          <w:lang w:val="es-BO"/>
        </w:rPr>
        <w:t xml:space="preserve">Comisiones </w:t>
      </w:r>
      <w:r w:rsidR="00056C9A" w:rsidRPr="00526208">
        <w:rPr>
          <w:color w:val="auto"/>
          <w:lang w:val="es-BO"/>
        </w:rPr>
        <w:t>de Revisión</w:t>
      </w:r>
      <w:r w:rsidR="00BE08D1">
        <w:rPr>
          <w:color w:val="auto"/>
          <w:lang w:val="es-BO"/>
        </w:rPr>
        <w:t xml:space="preserve"> y</w:t>
      </w:r>
      <w:r w:rsidRPr="00526208">
        <w:rPr>
          <w:color w:val="auto"/>
          <w:lang w:val="es-BO"/>
        </w:rPr>
        <w:t xml:space="preserve"> el </w:t>
      </w:r>
      <w:r w:rsidR="00BE08D1">
        <w:rPr>
          <w:color w:val="auto"/>
          <w:lang w:val="es-BO"/>
        </w:rPr>
        <w:t>Director Ejecutivo de la ANUCTI</w:t>
      </w:r>
      <w:r w:rsidRPr="00526208">
        <w:rPr>
          <w:color w:val="auto"/>
          <w:lang w:val="es-BO"/>
        </w:rPr>
        <w:t>, mediante el acto administrativo correspondiente, resolverá sobre la adjudicación de los subsidios</w:t>
      </w:r>
      <w:r w:rsidR="00056C9A" w:rsidRPr="00526208">
        <w:rPr>
          <w:color w:val="auto"/>
          <w:lang w:val="es-BO"/>
        </w:rPr>
        <w:t xml:space="preserve"> (financiamientos)</w:t>
      </w:r>
      <w:r w:rsidRPr="00526208">
        <w:rPr>
          <w:color w:val="auto"/>
          <w:lang w:val="es-BO"/>
        </w:rPr>
        <w:t xml:space="preserve">. Los resultados serán publicados en la página </w:t>
      </w:r>
      <w:r w:rsidR="00056C9A" w:rsidRPr="00526208">
        <w:rPr>
          <w:color w:val="auto"/>
          <w:lang w:val="es-BO"/>
        </w:rPr>
        <w:t>WEB</w:t>
      </w:r>
      <w:r w:rsidRPr="00526208">
        <w:rPr>
          <w:color w:val="auto"/>
          <w:lang w:val="es-BO"/>
        </w:rPr>
        <w:t xml:space="preserve"> de</w:t>
      </w:r>
      <w:r w:rsidR="00BE08D1">
        <w:rPr>
          <w:color w:val="auto"/>
          <w:lang w:val="es-BO"/>
        </w:rPr>
        <w:t xml:space="preserve"> la ANUCTI</w:t>
      </w:r>
      <w:r w:rsidR="00056C9A" w:rsidRPr="00526208">
        <w:rPr>
          <w:color w:val="auto"/>
          <w:lang w:val="es-BO"/>
        </w:rPr>
        <w:t xml:space="preserve"> </w:t>
      </w:r>
      <w:r w:rsidRPr="00526208">
        <w:rPr>
          <w:color w:val="auto"/>
          <w:lang w:val="es-BO"/>
        </w:rPr>
        <w:t xml:space="preserve">y </w:t>
      </w:r>
      <w:r w:rsidRPr="00526208">
        <w:rPr>
          <w:b/>
          <w:bCs/>
          <w:color w:val="auto"/>
          <w:lang w:val="es-BO"/>
        </w:rPr>
        <w:t xml:space="preserve">se notificará, vía correo electrónico, a los Investigadores Responsables </w:t>
      </w:r>
      <w:r w:rsidR="00BE08D1">
        <w:rPr>
          <w:b/>
          <w:bCs/>
          <w:color w:val="auto"/>
          <w:lang w:val="es-BO"/>
        </w:rPr>
        <w:t xml:space="preserve">o Investigador Principal </w:t>
      </w:r>
      <w:r w:rsidRPr="00526208">
        <w:rPr>
          <w:b/>
          <w:bCs/>
          <w:color w:val="auto"/>
          <w:lang w:val="es-BO"/>
        </w:rPr>
        <w:t xml:space="preserve">de los proyectos. </w:t>
      </w:r>
    </w:p>
    <w:p w:rsidR="00056C9A" w:rsidRPr="00526208" w:rsidRDefault="00056C9A" w:rsidP="002E2D94">
      <w:pPr>
        <w:pStyle w:val="Default"/>
        <w:jc w:val="both"/>
        <w:rPr>
          <w:color w:val="auto"/>
          <w:lang w:val="es-BO"/>
        </w:rPr>
      </w:pPr>
    </w:p>
    <w:p w:rsidR="00D17439" w:rsidRPr="00526208" w:rsidRDefault="002E2D94" w:rsidP="002E2D94">
      <w:pPr>
        <w:autoSpaceDE w:val="0"/>
        <w:autoSpaceDN w:val="0"/>
        <w:adjustRightInd w:val="0"/>
        <w:spacing w:after="0" w:line="240" w:lineRule="auto"/>
        <w:jc w:val="both"/>
        <w:rPr>
          <w:rFonts w:ascii="Arial" w:hAnsi="Arial" w:cs="Arial"/>
          <w:sz w:val="24"/>
          <w:szCs w:val="24"/>
          <w:lang w:val="es-BO"/>
        </w:rPr>
      </w:pPr>
      <w:r w:rsidRPr="00526208">
        <w:rPr>
          <w:rFonts w:ascii="Arial" w:hAnsi="Arial" w:cs="Arial"/>
          <w:sz w:val="24"/>
          <w:szCs w:val="24"/>
          <w:lang w:val="es-BO"/>
        </w:rPr>
        <w:t>Estos contarán con la posibilidad de recurrir el acto administrativo que resolvió sobre la adjudicación de los beneficios, debiendo el Investigador Responsable con el aval del representante legal de la Institución o apoderado, interponer un recurso de reconsideración por nota en el que exprese los fundamentos de su desacuerdo, utilizando para ello el formulario</w:t>
      </w:r>
      <w:r w:rsidR="00056C9A" w:rsidRPr="00526208">
        <w:rPr>
          <w:rFonts w:ascii="Arial" w:hAnsi="Arial" w:cs="Arial"/>
          <w:sz w:val="24"/>
          <w:szCs w:val="24"/>
          <w:lang w:val="es-BO"/>
        </w:rPr>
        <w:t xml:space="preserve"> correspondiente</w:t>
      </w:r>
      <w:r w:rsidRPr="00526208">
        <w:rPr>
          <w:rFonts w:ascii="Arial" w:hAnsi="Arial" w:cs="Arial"/>
          <w:sz w:val="24"/>
          <w:szCs w:val="24"/>
          <w:lang w:val="es-BO"/>
        </w:rPr>
        <w:t>. El plazo para elevar dicho recurso será de diez (10) días hábiles a partir de la notificación del acto que le cause gravamen. La solicitud de reconsideración deberá sustentarse en los siguientes motivos:</w:t>
      </w:r>
    </w:p>
    <w:p w:rsidR="005166EB" w:rsidRPr="00526208" w:rsidRDefault="005166EB" w:rsidP="00D17439">
      <w:pPr>
        <w:autoSpaceDE w:val="0"/>
        <w:autoSpaceDN w:val="0"/>
        <w:adjustRightInd w:val="0"/>
        <w:spacing w:after="0" w:line="240" w:lineRule="auto"/>
        <w:rPr>
          <w:rFonts w:ascii="Arial" w:hAnsi="Arial" w:cs="Arial"/>
          <w:sz w:val="24"/>
          <w:szCs w:val="24"/>
          <w:lang w:val="es-BO"/>
        </w:rPr>
      </w:pPr>
    </w:p>
    <w:p w:rsidR="00056C9A" w:rsidRPr="00526208" w:rsidRDefault="00056C9A" w:rsidP="004C1048">
      <w:pPr>
        <w:pStyle w:val="Default"/>
        <w:numPr>
          <w:ilvl w:val="0"/>
          <w:numId w:val="21"/>
        </w:numPr>
        <w:rPr>
          <w:lang w:val="es-BO"/>
        </w:rPr>
      </w:pPr>
      <w:r w:rsidRPr="00526208">
        <w:rPr>
          <w:lang w:val="es-BO"/>
        </w:rPr>
        <w:t>Vicios de procedimiento o</w:t>
      </w:r>
    </w:p>
    <w:p w:rsidR="00056C9A" w:rsidRPr="00526208" w:rsidRDefault="00056C9A" w:rsidP="00BE08D1">
      <w:pPr>
        <w:pStyle w:val="Default"/>
        <w:numPr>
          <w:ilvl w:val="0"/>
          <w:numId w:val="21"/>
        </w:numPr>
        <w:jc w:val="both"/>
        <w:rPr>
          <w:lang w:val="es-BO"/>
        </w:rPr>
      </w:pPr>
      <w:r w:rsidRPr="00526208">
        <w:rPr>
          <w:color w:val="auto"/>
          <w:lang w:val="es-BO"/>
        </w:rPr>
        <w:lastRenderedPageBreak/>
        <w:t xml:space="preserve">Errores evidentes en las apreciaciones del evaluador, inconsistencia entre la calificación asignada y el análisis que la sustenta, o manifiesta arbitrariedad de los intervinientes en el proceso de evaluación. </w:t>
      </w:r>
    </w:p>
    <w:p w:rsidR="005F1D54" w:rsidRPr="00526208" w:rsidRDefault="005F1D54" w:rsidP="00D17439">
      <w:pPr>
        <w:autoSpaceDE w:val="0"/>
        <w:autoSpaceDN w:val="0"/>
        <w:adjustRightInd w:val="0"/>
        <w:spacing w:after="0" w:line="240" w:lineRule="auto"/>
        <w:rPr>
          <w:rFonts w:ascii="Arial" w:hAnsi="Arial" w:cs="Arial"/>
          <w:sz w:val="24"/>
          <w:szCs w:val="24"/>
          <w:lang w:val="es-BO"/>
        </w:rPr>
      </w:pPr>
    </w:p>
    <w:p w:rsidR="001832CE" w:rsidRDefault="001832CE" w:rsidP="00D17439">
      <w:pPr>
        <w:autoSpaceDE w:val="0"/>
        <w:autoSpaceDN w:val="0"/>
        <w:adjustRightInd w:val="0"/>
        <w:spacing w:after="0" w:line="240" w:lineRule="auto"/>
        <w:rPr>
          <w:rFonts w:ascii="Arial" w:hAnsi="Arial" w:cs="Arial"/>
          <w:sz w:val="24"/>
          <w:szCs w:val="24"/>
          <w:lang w:val="es-BO"/>
        </w:rPr>
      </w:pPr>
    </w:p>
    <w:p w:rsidR="001D752D" w:rsidRPr="00526208" w:rsidRDefault="001D752D" w:rsidP="00D17439">
      <w:pPr>
        <w:autoSpaceDE w:val="0"/>
        <w:autoSpaceDN w:val="0"/>
        <w:adjustRightInd w:val="0"/>
        <w:spacing w:after="0" w:line="240" w:lineRule="auto"/>
        <w:rPr>
          <w:rFonts w:ascii="Arial" w:hAnsi="Arial" w:cs="Arial"/>
          <w:sz w:val="24"/>
          <w:szCs w:val="24"/>
          <w:lang w:val="es-BO"/>
        </w:rPr>
      </w:pPr>
    </w:p>
    <w:p w:rsidR="006E75BF" w:rsidRPr="0085268C" w:rsidRDefault="0085268C" w:rsidP="006F6142">
      <w:pPr>
        <w:pStyle w:val="Ttulo1"/>
        <w:rPr>
          <w:lang w:val="es-BO"/>
        </w:rPr>
      </w:pPr>
      <w:bookmarkStart w:id="26" w:name="_Toc471887296"/>
      <w:r>
        <w:rPr>
          <w:lang w:val="es-BO"/>
        </w:rPr>
        <w:t xml:space="preserve">11. </w:t>
      </w:r>
      <w:r w:rsidR="006E75BF" w:rsidRPr="0085268C">
        <w:rPr>
          <w:lang w:val="es-BO"/>
        </w:rPr>
        <w:t>Aspectos Financieros de</w:t>
      </w:r>
      <w:r w:rsidR="001D752D">
        <w:rPr>
          <w:lang w:val="es-BO"/>
        </w:rPr>
        <w:t xml:space="preserve"> la ANUCTI y del FONUCyT</w:t>
      </w:r>
      <w:bookmarkEnd w:id="26"/>
    </w:p>
    <w:p w:rsidR="0000051E" w:rsidRPr="00526208" w:rsidRDefault="0000051E" w:rsidP="006E75BF">
      <w:pPr>
        <w:spacing w:after="0" w:line="240" w:lineRule="auto"/>
        <w:jc w:val="both"/>
        <w:rPr>
          <w:rFonts w:ascii="Arial" w:hAnsi="Arial" w:cs="Arial"/>
          <w:sz w:val="24"/>
          <w:szCs w:val="24"/>
          <w:lang w:val="es-BO"/>
        </w:rPr>
      </w:pPr>
    </w:p>
    <w:p w:rsidR="002830AB" w:rsidRPr="00526208" w:rsidRDefault="00E7195A" w:rsidP="006E75BF">
      <w:pPr>
        <w:spacing w:after="0" w:line="240" w:lineRule="auto"/>
        <w:jc w:val="both"/>
        <w:rPr>
          <w:rFonts w:ascii="Arial" w:hAnsi="Arial" w:cs="Arial"/>
          <w:sz w:val="24"/>
          <w:szCs w:val="24"/>
          <w:lang w:val="es-BO"/>
        </w:rPr>
      </w:pPr>
      <w:r w:rsidRPr="00526208">
        <w:rPr>
          <w:rFonts w:ascii="Arial" w:hAnsi="Arial" w:cs="Arial"/>
          <w:sz w:val="24"/>
          <w:szCs w:val="24"/>
          <w:lang w:val="es-BO"/>
        </w:rPr>
        <w:t xml:space="preserve">Al ser la </w:t>
      </w:r>
      <w:r w:rsidR="00BE08D1">
        <w:rPr>
          <w:rFonts w:ascii="Arial" w:hAnsi="Arial" w:cs="Arial"/>
          <w:sz w:val="24"/>
          <w:szCs w:val="24"/>
          <w:lang w:val="es-BO"/>
        </w:rPr>
        <w:t xml:space="preserve">ANUCTI </w:t>
      </w:r>
      <w:r w:rsidRPr="00526208">
        <w:rPr>
          <w:rFonts w:ascii="Arial" w:hAnsi="Arial" w:cs="Arial"/>
          <w:sz w:val="24"/>
          <w:szCs w:val="24"/>
          <w:lang w:val="es-BO"/>
        </w:rPr>
        <w:t xml:space="preserve">una entidad sin fines de lucro, no significa que la administración de sus recursos no debe ser eficiente y eficaz, por el contrario, el éxito de este tipo de instituciones depende en </w:t>
      </w:r>
      <w:r w:rsidR="002830AB" w:rsidRPr="00526208">
        <w:rPr>
          <w:rFonts w:ascii="Arial" w:hAnsi="Arial" w:cs="Arial"/>
          <w:sz w:val="24"/>
          <w:szCs w:val="24"/>
          <w:lang w:val="es-BO"/>
        </w:rPr>
        <w:t xml:space="preserve">gran medida de </w:t>
      </w:r>
      <w:r w:rsidR="00482EE1" w:rsidRPr="00526208">
        <w:rPr>
          <w:rFonts w:ascii="Arial" w:hAnsi="Arial" w:cs="Arial"/>
          <w:sz w:val="24"/>
          <w:szCs w:val="24"/>
          <w:lang w:val="es-BO"/>
        </w:rPr>
        <w:t>una administración que permita lograr sus objetivos con la menor cantidad de recursos posibles.</w:t>
      </w:r>
    </w:p>
    <w:p w:rsidR="002830AB" w:rsidRPr="00526208" w:rsidRDefault="002830AB" w:rsidP="006E75BF">
      <w:pPr>
        <w:spacing w:after="0" w:line="240" w:lineRule="auto"/>
        <w:jc w:val="both"/>
        <w:rPr>
          <w:rFonts w:ascii="Arial" w:hAnsi="Arial" w:cs="Arial"/>
          <w:sz w:val="24"/>
          <w:szCs w:val="24"/>
          <w:lang w:val="es-BO"/>
        </w:rPr>
      </w:pPr>
    </w:p>
    <w:p w:rsidR="002830AB" w:rsidRPr="00526208" w:rsidRDefault="002830AB" w:rsidP="006E75BF">
      <w:pPr>
        <w:spacing w:after="0" w:line="240" w:lineRule="auto"/>
        <w:jc w:val="both"/>
        <w:rPr>
          <w:rFonts w:ascii="Arial" w:hAnsi="Arial" w:cs="Arial"/>
          <w:sz w:val="24"/>
          <w:szCs w:val="24"/>
          <w:lang w:val="es-BO"/>
        </w:rPr>
      </w:pPr>
      <w:r w:rsidRPr="00526208">
        <w:rPr>
          <w:rFonts w:ascii="Arial" w:hAnsi="Arial" w:cs="Arial"/>
          <w:sz w:val="24"/>
          <w:szCs w:val="24"/>
          <w:lang w:val="es-BO"/>
        </w:rPr>
        <w:t xml:space="preserve">Como toda organización, </w:t>
      </w:r>
      <w:r w:rsidR="00BE08D1">
        <w:rPr>
          <w:rFonts w:ascii="Arial" w:hAnsi="Arial" w:cs="Arial"/>
          <w:sz w:val="24"/>
          <w:szCs w:val="24"/>
          <w:lang w:val="es-BO"/>
        </w:rPr>
        <w:t>la ANUCTI</w:t>
      </w:r>
      <w:r w:rsidRPr="00526208">
        <w:rPr>
          <w:rFonts w:ascii="Arial" w:hAnsi="Arial" w:cs="Arial"/>
          <w:sz w:val="24"/>
          <w:szCs w:val="24"/>
          <w:lang w:val="es-BO"/>
        </w:rPr>
        <w:t xml:space="preserve"> requerirá de un plantel de personal para su adecuada gestión</w:t>
      </w:r>
      <w:r w:rsidR="00482EE1" w:rsidRPr="00526208">
        <w:rPr>
          <w:rFonts w:ascii="Arial" w:hAnsi="Arial" w:cs="Arial"/>
          <w:sz w:val="24"/>
          <w:szCs w:val="24"/>
          <w:lang w:val="es-BO"/>
        </w:rPr>
        <w:t xml:space="preserve"> (</w:t>
      </w:r>
      <w:r w:rsidRPr="00526208">
        <w:rPr>
          <w:rFonts w:ascii="Arial" w:hAnsi="Arial" w:cs="Arial"/>
          <w:sz w:val="24"/>
          <w:szCs w:val="24"/>
          <w:lang w:val="es-BO"/>
        </w:rPr>
        <w:t>un Director, coordinadores de área y personal de staff y apoyo</w:t>
      </w:r>
      <w:r w:rsidR="00482EE1" w:rsidRPr="00526208">
        <w:rPr>
          <w:rFonts w:ascii="Arial" w:hAnsi="Arial" w:cs="Arial"/>
          <w:sz w:val="24"/>
          <w:szCs w:val="24"/>
          <w:lang w:val="es-BO"/>
        </w:rPr>
        <w:t xml:space="preserve">), </w:t>
      </w:r>
      <w:r w:rsidRPr="00526208">
        <w:rPr>
          <w:rFonts w:ascii="Arial" w:hAnsi="Arial" w:cs="Arial"/>
          <w:sz w:val="24"/>
          <w:szCs w:val="24"/>
          <w:lang w:val="es-BO"/>
        </w:rPr>
        <w:t xml:space="preserve">un lugar </w:t>
      </w:r>
      <w:r w:rsidR="00482EE1" w:rsidRPr="00526208">
        <w:rPr>
          <w:rFonts w:ascii="Arial" w:hAnsi="Arial" w:cs="Arial"/>
          <w:sz w:val="24"/>
          <w:szCs w:val="24"/>
          <w:lang w:val="es-BO"/>
        </w:rPr>
        <w:t xml:space="preserve">físico y virtual </w:t>
      </w:r>
      <w:r w:rsidRPr="00526208">
        <w:rPr>
          <w:rFonts w:ascii="Arial" w:hAnsi="Arial" w:cs="Arial"/>
          <w:sz w:val="24"/>
          <w:szCs w:val="24"/>
          <w:lang w:val="es-BO"/>
        </w:rPr>
        <w:t xml:space="preserve">para su funcionamiento y </w:t>
      </w:r>
      <w:r w:rsidR="00482EE1" w:rsidRPr="00526208">
        <w:rPr>
          <w:rFonts w:ascii="Arial" w:hAnsi="Arial" w:cs="Arial"/>
          <w:sz w:val="24"/>
          <w:szCs w:val="24"/>
          <w:lang w:val="es-BO"/>
        </w:rPr>
        <w:t xml:space="preserve">cierta cantidad de recursos para su </w:t>
      </w:r>
      <w:r w:rsidRPr="00526208">
        <w:rPr>
          <w:rFonts w:ascii="Arial" w:hAnsi="Arial" w:cs="Arial"/>
          <w:sz w:val="24"/>
          <w:szCs w:val="24"/>
          <w:lang w:val="es-BO"/>
        </w:rPr>
        <w:t>funcionamiento.</w:t>
      </w:r>
    </w:p>
    <w:p w:rsidR="002830AB" w:rsidRPr="00526208" w:rsidRDefault="002830AB" w:rsidP="006E75BF">
      <w:pPr>
        <w:spacing w:after="0" w:line="240" w:lineRule="auto"/>
        <w:jc w:val="both"/>
        <w:rPr>
          <w:rFonts w:ascii="Arial" w:hAnsi="Arial" w:cs="Arial"/>
          <w:sz w:val="24"/>
          <w:szCs w:val="24"/>
          <w:lang w:val="es-BO"/>
        </w:rPr>
      </w:pPr>
    </w:p>
    <w:p w:rsidR="00482EE1" w:rsidRPr="00526208" w:rsidRDefault="00482EE1" w:rsidP="006E75BF">
      <w:pPr>
        <w:spacing w:after="0" w:line="240" w:lineRule="auto"/>
        <w:jc w:val="both"/>
        <w:rPr>
          <w:rFonts w:ascii="Arial" w:hAnsi="Arial" w:cs="Arial"/>
          <w:sz w:val="24"/>
          <w:szCs w:val="24"/>
          <w:lang w:val="es-BO"/>
        </w:rPr>
      </w:pPr>
      <w:r w:rsidRPr="00526208">
        <w:rPr>
          <w:rFonts w:ascii="Arial" w:hAnsi="Arial" w:cs="Arial"/>
          <w:sz w:val="24"/>
          <w:szCs w:val="24"/>
          <w:lang w:val="es-BO"/>
        </w:rPr>
        <w:t xml:space="preserve">Conseguir recursos y otorgarlos a través de programas y proyectos de investigación e innovación son las funciones principales de una agencia como </w:t>
      </w:r>
      <w:r w:rsidR="000A2E73">
        <w:rPr>
          <w:rFonts w:ascii="Arial" w:hAnsi="Arial" w:cs="Arial"/>
          <w:sz w:val="24"/>
          <w:szCs w:val="24"/>
          <w:lang w:val="es-BO"/>
        </w:rPr>
        <w:t>la ANUCTI</w:t>
      </w:r>
      <w:r w:rsidRPr="00526208">
        <w:rPr>
          <w:rFonts w:ascii="Arial" w:hAnsi="Arial" w:cs="Arial"/>
          <w:sz w:val="24"/>
          <w:szCs w:val="24"/>
          <w:lang w:val="es-BO"/>
        </w:rPr>
        <w:t xml:space="preserve">. En este trabajo, </w:t>
      </w:r>
      <w:r w:rsidR="0081544A" w:rsidRPr="00526208">
        <w:rPr>
          <w:rFonts w:ascii="Arial" w:hAnsi="Arial" w:cs="Arial"/>
          <w:sz w:val="24"/>
          <w:szCs w:val="24"/>
          <w:lang w:val="es-BO"/>
        </w:rPr>
        <w:t>se debe establecer una planificación y presupuestación anual de las finanzas de la agencia.</w:t>
      </w:r>
    </w:p>
    <w:p w:rsidR="0081544A" w:rsidRPr="00526208" w:rsidRDefault="0081544A" w:rsidP="006E75BF">
      <w:pPr>
        <w:spacing w:after="0" w:line="240" w:lineRule="auto"/>
        <w:jc w:val="both"/>
        <w:rPr>
          <w:rFonts w:ascii="Arial" w:hAnsi="Arial" w:cs="Arial"/>
          <w:sz w:val="24"/>
          <w:szCs w:val="24"/>
          <w:lang w:val="es-BO"/>
        </w:rPr>
      </w:pPr>
    </w:p>
    <w:p w:rsidR="0081544A" w:rsidRPr="00526208" w:rsidRDefault="0081544A" w:rsidP="006E75BF">
      <w:pPr>
        <w:spacing w:after="0" w:line="240" w:lineRule="auto"/>
        <w:jc w:val="both"/>
        <w:rPr>
          <w:rFonts w:ascii="Arial" w:hAnsi="Arial" w:cs="Arial"/>
          <w:sz w:val="24"/>
          <w:szCs w:val="24"/>
          <w:lang w:val="es-BO"/>
        </w:rPr>
      </w:pPr>
      <w:r w:rsidRPr="00526208">
        <w:rPr>
          <w:rFonts w:ascii="Arial" w:hAnsi="Arial" w:cs="Arial"/>
          <w:sz w:val="24"/>
          <w:szCs w:val="24"/>
          <w:lang w:val="es-BO"/>
        </w:rPr>
        <w:t>Una herramienta básica para establecer una adecuada planificación y presupuestación financiera para entidades</w:t>
      </w:r>
      <w:r w:rsidR="000A2E73">
        <w:rPr>
          <w:rFonts w:ascii="Arial" w:hAnsi="Arial" w:cs="Arial"/>
          <w:sz w:val="24"/>
          <w:szCs w:val="24"/>
          <w:lang w:val="es-BO"/>
        </w:rPr>
        <w:t xml:space="preserve"> sin ánimos de lucro, como es la ANUCTI</w:t>
      </w:r>
      <w:r w:rsidRPr="00526208">
        <w:rPr>
          <w:rFonts w:ascii="Arial" w:hAnsi="Arial" w:cs="Arial"/>
          <w:sz w:val="24"/>
          <w:szCs w:val="24"/>
          <w:lang w:val="es-BO"/>
        </w:rPr>
        <w:t>, es el aná</w:t>
      </w:r>
      <w:r w:rsidR="000A2E73">
        <w:rPr>
          <w:rFonts w:ascii="Arial" w:hAnsi="Arial" w:cs="Arial"/>
          <w:sz w:val="24"/>
          <w:szCs w:val="24"/>
          <w:lang w:val="es-BO"/>
        </w:rPr>
        <w:t>lisis de la liquidez financiera,</w:t>
      </w:r>
      <w:r w:rsidRPr="00526208">
        <w:rPr>
          <w:rFonts w:ascii="Arial" w:hAnsi="Arial" w:cs="Arial"/>
          <w:sz w:val="24"/>
          <w:szCs w:val="24"/>
          <w:lang w:val="es-BO"/>
        </w:rPr>
        <w:t xml:space="preserve"> para ello se requiere realizar un estudio sobre las fuentes y usos de los recursos financieros que manejará </w:t>
      </w:r>
      <w:r w:rsidR="006658DB">
        <w:rPr>
          <w:rFonts w:ascii="Arial" w:hAnsi="Arial" w:cs="Arial"/>
          <w:sz w:val="24"/>
          <w:szCs w:val="24"/>
          <w:lang w:val="es-BO"/>
        </w:rPr>
        <w:t>la ANUCTI</w:t>
      </w:r>
      <w:r w:rsidRPr="00526208">
        <w:rPr>
          <w:rFonts w:ascii="Arial" w:hAnsi="Arial" w:cs="Arial"/>
          <w:sz w:val="24"/>
          <w:szCs w:val="24"/>
          <w:lang w:val="es-BO"/>
        </w:rPr>
        <w:t xml:space="preserve">. Sin embargo, existen indicadores de medición de la liquidez </w:t>
      </w:r>
      <w:r w:rsidR="00175553" w:rsidRPr="00526208">
        <w:rPr>
          <w:rFonts w:ascii="Arial" w:hAnsi="Arial" w:cs="Arial"/>
          <w:sz w:val="24"/>
          <w:szCs w:val="24"/>
          <w:lang w:val="es-BO"/>
        </w:rPr>
        <w:t>(</w:t>
      </w:r>
      <w:r w:rsidRPr="00526208">
        <w:rPr>
          <w:rFonts w:ascii="Arial" w:hAnsi="Arial" w:cs="Arial"/>
          <w:sz w:val="24"/>
          <w:szCs w:val="24"/>
          <w:lang w:val="es-BO"/>
        </w:rPr>
        <w:t xml:space="preserve">Razón Corriente, Prueba Acida, </w:t>
      </w:r>
      <w:r w:rsidR="00175553" w:rsidRPr="00526208">
        <w:rPr>
          <w:rFonts w:ascii="Arial" w:hAnsi="Arial" w:cs="Arial"/>
          <w:sz w:val="24"/>
          <w:szCs w:val="24"/>
          <w:lang w:val="es-BO"/>
        </w:rPr>
        <w:t>Rotación de Cuentas por Cobrar y Rotación de Cuentas por Pagar) pero en el caso de la agencia, utilizaremos fuentes menos (-) usos de dinero en cada peri</w:t>
      </w:r>
      <w:r w:rsidR="000A2E73">
        <w:rPr>
          <w:rFonts w:ascii="Arial" w:hAnsi="Arial" w:cs="Arial"/>
          <w:sz w:val="24"/>
          <w:szCs w:val="24"/>
          <w:lang w:val="es-BO"/>
        </w:rPr>
        <w:t>o</w:t>
      </w:r>
      <w:r w:rsidR="00175553" w:rsidRPr="00526208">
        <w:rPr>
          <w:rFonts w:ascii="Arial" w:hAnsi="Arial" w:cs="Arial"/>
          <w:sz w:val="24"/>
          <w:szCs w:val="24"/>
          <w:lang w:val="es-BO"/>
        </w:rPr>
        <w:t>do.</w:t>
      </w:r>
    </w:p>
    <w:p w:rsidR="0081544A" w:rsidRPr="00526208" w:rsidRDefault="0081544A" w:rsidP="006E75BF">
      <w:pPr>
        <w:spacing w:after="0" w:line="240" w:lineRule="auto"/>
        <w:jc w:val="both"/>
        <w:rPr>
          <w:rFonts w:ascii="Arial" w:hAnsi="Arial" w:cs="Arial"/>
          <w:sz w:val="24"/>
          <w:szCs w:val="24"/>
          <w:lang w:val="es-BO"/>
        </w:rPr>
      </w:pPr>
    </w:p>
    <w:p w:rsidR="00E7195A" w:rsidRPr="00526208" w:rsidRDefault="00E7195A" w:rsidP="006E75BF">
      <w:pPr>
        <w:spacing w:after="0" w:line="240" w:lineRule="auto"/>
        <w:jc w:val="both"/>
        <w:rPr>
          <w:rFonts w:ascii="Arial" w:hAnsi="Arial" w:cs="Arial"/>
          <w:sz w:val="24"/>
          <w:szCs w:val="24"/>
          <w:lang w:val="es-BO"/>
        </w:rPr>
      </w:pPr>
    </w:p>
    <w:p w:rsidR="00CD710B" w:rsidRPr="00526208" w:rsidRDefault="000A2E73" w:rsidP="006F6142">
      <w:pPr>
        <w:pStyle w:val="Ttulo2"/>
        <w:rPr>
          <w:lang w:val="es-BO"/>
        </w:rPr>
      </w:pPr>
      <w:bookmarkStart w:id="27" w:name="_Toc471887297"/>
      <w:r>
        <w:rPr>
          <w:lang w:val="es-BO"/>
        </w:rPr>
        <w:t>11</w:t>
      </w:r>
      <w:r w:rsidR="00CD710B" w:rsidRPr="00526208">
        <w:rPr>
          <w:lang w:val="es-BO"/>
        </w:rPr>
        <w:t xml:space="preserve">.1 </w:t>
      </w:r>
      <w:r w:rsidR="00175553" w:rsidRPr="00526208">
        <w:rPr>
          <w:lang w:val="es-BO"/>
        </w:rPr>
        <w:t>Fuentes</w:t>
      </w:r>
      <w:r w:rsidR="00CD710B" w:rsidRPr="00526208">
        <w:rPr>
          <w:lang w:val="es-BO"/>
        </w:rPr>
        <w:t xml:space="preserve"> de Ingresos de</w:t>
      </w:r>
      <w:r w:rsidR="006658DB">
        <w:rPr>
          <w:lang w:val="es-BO"/>
        </w:rPr>
        <w:t xml:space="preserve"> la ANUCTI</w:t>
      </w:r>
      <w:bookmarkEnd w:id="27"/>
    </w:p>
    <w:p w:rsidR="00CD710B" w:rsidRPr="00526208" w:rsidRDefault="00CD710B" w:rsidP="001809D4">
      <w:pPr>
        <w:spacing w:after="0" w:line="240" w:lineRule="auto"/>
        <w:jc w:val="both"/>
        <w:rPr>
          <w:rFonts w:ascii="Arial" w:hAnsi="Arial" w:cs="Arial"/>
          <w:sz w:val="24"/>
          <w:szCs w:val="24"/>
          <w:lang w:val="es-BO"/>
        </w:rPr>
      </w:pPr>
    </w:p>
    <w:p w:rsidR="00121C85" w:rsidRPr="00526208" w:rsidRDefault="00207D02" w:rsidP="001809D4">
      <w:pPr>
        <w:spacing w:after="0" w:line="240" w:lineRule="auto"/>
        <w:jc w:val="both"/>
        <w:rPr>
          <w:rFonts w:ascii="Arial" w:hAnsi="Arial" w:cs="Arial"/>
          <w:sz w:val="24"/>
          <w:szCs w:val="24"/>
          <w:lang w:val="es-BO"/>
        </w:rPr>
      </w:pPr>
      <w:r w:rsidRPr="00526208">
        <w:rPr>
          <w:rFonts w:ascii="Arial" w:hAnsi="Arial" w:cs="Arial"/>
          <w:sz w:val="24"/>
          <w:szCs w:val="24"/>
          <w:lang w:val="es-BO"/>
        </w:rPr>
        <w:t>Los recursos financieros que sustentarán las actividades de</w:t>
      </w:r>
      <w:r w:rsidR="006658DB">
        <w:rPr>
          <w:rFonts w:ascii="Arial" w:hAnsi="Arial" w:cs="Arial"/>
          <w:sz w:val="24"/>
          <w:szCs w:val="24"/>
          <w:lang w:val="es-BO"/>
        </w:rPr>
        <w:t xml:space="preserve"> </w:t>
      </w:r>
      <w:r w:rsidRPr="00526208">
        <w:rPr>
          <w:rFonts w:ascii="Arial" w:hAnsi="Arial" w:cs="Arial"/>
          <w:sz w:val="24"/>
          <w:szCs w:val="24"/>
          <w:lang w:val="es-BO"/>
        </w:rPr>
        <w:t>l</w:t>
      </w:r>
      <w:r w:rsidR="006658DB">
        <w:rPr>
          <w:rFonts w:ascii="Arial" w:hAnsi="Arial" w:cs="Arial"/>
          <w:sz w:val="24"/>
          <w:szCs w:val="24"/>
          <w:lang w:val="es-BO"/>
        </w:rPr>
        <w:t>a</w:t>
      </w:r>
      <w:r w:rsidRPr="00526208">
        <w:rPr>
          <w:rFonts w:ascii="Arial" w:hAnsi="Arial" w:cs="Arial"/>
          <w:sz w:val="24"/>
          <w:szCs w:val="24"/>
          <w:lang w:val="es-BO"/>
        </w:rPr>
        <w:t xml:space="preserve"> </w:t>
      </w:r>
      <w:r w:rsidR="006658DB">
        <w:rPr>
          <w:rFonts w:ascii="Arial" w:hAnsi="Arial" w:cs="Arial"/>
          <w:sz w:val="24"/>
          <w:szCs w:val="24"/>
          <w:lang w:val="es-BO"/>
        </w:rPr>
        <w:t xml:space="preserve">ANUCTI </w:t>
      </w:r>
      <w:r w:rsidR="00121C85" w:rsidRPr="00526208">
        <w:rPr>
          <w:rFonts w:ascii="Arial" w:hAnsi="Arial" w:cs="Arial"/>
          <w:sz w:val="24"/>
          <w:szCs w:val="24"/>
          <w:lang w:val="es-BO"/>
        </w:rPr>
        <w:t>deben ser proyectados para el periodo 2017-2021. Las fuentes de financiamiento a considerar son:</w:t>
      </w:r>
    </w:p>
    <w:p w:rsidR="00207D02" w:rsidRPr="00526208" w:rsidRDefault="00121C85" w:rsidP="001809D4">
      <w:pPr>
        <w:spacing w:after="0" w:line="240" w:lineRule="auto"/>
        <w:jc w:val="both"/>
        <w:rPr>
          <w:rFonts w:ascii="Arial" w:hAnsi="Arial" w:cs="Arial"/>
          <w:sz w:val="24"/>
          <w:szCs w:val="24"/>
          <w:lang w:val="es-BO"/>
        </w:rPr>
      </w:pPr>
      <w:r w:rsidRPr="00526208">
        <w:rPr>
          <w:rFonts w:ascii="Arial" w:hAnsi="Arial" w:cs="Arial"/>
          <w:sz w:val="24"/>
          <w:szCs w:val="24"/>
          <w:lang w:val="es-BO"/>
        </w:rPr>
        <w:t xml:space="preserve"> </w:t>
      </w:r>
    </w:p>
    <w:p w:rsidR="00121C85" w:rsidRPr="00526208" w:rsidRDefault="00E646C7" w:rsidP="00121C85">
      <w:pPr>
        <w:pStyle w:val="Prrafodelista"/>
        <w:numPr>
          <w:ilvl w:val="0"/>
          <w:numId w:val="19"/>
        </w:numPr>
        <w:spacing w:after="0" w:line="240" w:lineRule="auto"/>
        <w:jc w:val="both"/>
        <w:rPr>
          <w:rFonts w:ascii="Arial" w:hAnsi="Arial" w:cs="Arial"/>
          <w:sz w:val="24"/>
          <w:szCs w:val="24"/>
          <w:lang w:val="es-BO"/>
        </w:rPr>
      </w:pPr>
      <w:r w:rsidRPr="00526208">
        <w:rPr>
          <w:rFonts w:ascii="Arial" w:hAnsi="Arial" w:cs="Arial"/>
          <w:b/>
          <w:sz w:val="24"/>
          <w:szCs w:val="24"/>
          <w:lang w:val="es-BO"/>
        </w:rPr>
        <w:t>Cooperación Internacional</w:t>
      </w:r>
      <w:r w:rsidR="006658DB">
        <w:rPr>
          <w:rFonts w:ascii="Arial" w:hAnsi="Arial" w:cs="Arial"/>
          <w:sz w:val="24"/>
          <w:szCs w:val="24"/>
          <w:lang w:val="es-BO"/>
        </w:rPr>
        <w:t xml:space="preserve">, que en esta primera etapa de la ANUCTI </w:t>
      </w:r>
      <w:r w:rsidRPr="00526208">
        <w:rPr>
          <w:rFonts w:ascii="Arial" w:hAnsi="Arial" w:cs="Arial"/>
          <w:sz w:val="24"/>
          <w:szCs w:val="24"/>
          <w:lang w:val="es-BO"/>
        </w:rPr>
        <w:t xml:space="preserve">participarán la Cooperación Técnica Suiza (COSUDE) y la Agencia Sueca de Desarrollo Internacional (ASDI). En este grupo de financiadores </w:t>
      </w:r>
      <w:r w:rsidR="006658DB">
        <w:rPr>
          <w:rFonts w:ascii="Arial" w:hAnsi="Arial" w:cs="Arial"/>
          <w:sz w:val="24"/>
          <w:szCs w:val="24"/>
          <w:lang w:val="es-BO"/>
        </w:rPr>
        <w:t xml:space="preserve">se </w:t>
      </w:r>
      <w:r w:rsidRPr="00526208">
        <w:rPr>
          <w:rFonts w:ascii="Arial" w:hAnsi="Arial" w:cs="Arial"/>
          <w:sz w:val="24"/>
          <w:szCs w:val="24"/>
          <w:lang w:val="es-BO"/>
        </w:rPr>
        <w:t xml:space="preserve">debe considerarse a otras agencias y gobiernos que apoyan actividades de investigación e innovación productiva y social, </w:t>
      </w:r>
      <w:r w:rsidR="00175553" w:rsidRPr="00526208">
        <w:rPr>
          <w:rFonts w:ascii="Arial" w:hAnsi="Arial" w:cs="Arial"/>
          <w:sz w:val="24"/>
          <w:szCs w:val="24"/>
          <w:lang w:val="es-BO"/>
        </w:rPr>
        <w:t>no obstante, se debe hacer notar que</w:t>
      </w:r>
      <w:r w:rsidRPr="00526208">
        <w:rPr>
          <w:rFonts w:ascii="Arial" w:hAnsi="Arial" w:cs="Arial"/>
          <w:sz w:val="24"/>
          <w:szCs w:val="24"/>
          <w:lang w:val="es-BO"/>
        </w:rPr>
        <w:t xml:space="preserve"> los fondos aportados por estos financiadores tienen destinos concretos en líneas o áreas </w:t>
      </w:r>
      <w:r w:rsidR="00175553" w:rsidRPr="00526208">
        <w:rPr>
          <w:rFonts w:ascii="Arial" w:hAnsi="Arial" w:cs="Arial"/>
          <w:sz w:val="24"/>
          <w:szCs w:val="24"/>
          <w:lang w:val="es-BO"/>
        </w:rPr>
        <w:t>específicas (Cambio Climático, Energías Renovables, Pequeñas Empresas y otras)</w:t>
      </w:r>
      <w:r w:rsidRPr="00526208">
        <w:rPr>
          <w:rFonts w:ascii="Arial" w:hAnsi="Arial" w:cs="Arial"/>
          <w:sz w:val="24"/>
          <w:szCs w:val="24"/>
          <w:lang w:val="es-BO"/>
        </w:rPr>
        <w:t>.</w:t>
      </w:r>
      <w:r w:rsidR="00121C85" w:rsidRPr="00526208">
        <w:rPr>
          <w:rFonts w:ascii="Arial" w:hAnsi="Arial" w:cs="Arial"/>
          <w:sz w:val="24"/>
          <w:szCs w:val="24"/>
          <w:lang w:val="es-BO"/>
        </w:rPr>
        <w:t xml:space="preserve"> Para la proyección de estos recursos se toma como base los recursos comprometidos durante el Taller de Planificación del SUB en fecha 27 de septiembre de 2016 en Cochabamba.</w:t>
      </w:r>
    </w:p>
    <w:p w:rsidR="00121C85" w:rsidRPr="00526208" w:rsidRDefault="00121C85" w:rsidP="00121C85">
      <w:pPr>
        <w:spacing w:after="0" w:line="240" w:lineRule="auto"/>
        <w:jc w:val="both"/>
        <w:rPr>
          <w:rFonts w:ascii="Arial" w:hAnsi="Arial" w:cs="Arial"/>
          <w:sz w:val="24"/>
          <w:szCs w:val="24"/>
          <w:lang w:val="es-BO"/>
        </w:rPr>
      </w:pPr>
    </w:p>
    <w:p w:rsidR="00121C85" w:rsidRPr="00526208" w:rsidRDefault="00121C85" w:rsidP="00121C85">
      <w:pPr>
        <w:pStyle w:val="Prrafodelista"/>
        <w:numPr>
          <w:ilvl w:val="0"/>
          <w:numId w:val="39"/>
        </w:numPr>
        <w:spacing w:after="0" w:line="240" w:lineRule="auto"/>
        <w:jc w:val="both"/>
        <w:rPr>
          <w:rFonts w:ascii="Arial" w:hAnsi="Arial" w:cs="Arial"/>
          <w:sz w:val="24"/>
          <w:szCs w:val="24"/>
          <w:lang w:val="es-BO"/>
        </w:rPr>
      </w:pPr>
      <w:r w:rsidRPr="00526208">
        <w:rPr>
          <w:rFonts w:ascii="Arial" w:hAnsi="Arial" w:cs="Arial"/>
          <w:sz w:val="24"/>
          <w:szCs w:val="24"/>
          <w:lang w:val="es-BO"/>
        </w:rPr>
        <w:t>ASDI con 8 millones de bolivianos para los primeros cinco años de funcionamiento de la agencia.</w:t>
      </w:r>
    </w:p>
    <w:p w:rsidR="00121C85" w:rsidRPr="00526208" w:rsidRDefault="00121C85" w:rsidP="00121C85">
      <w:pPr>
        <w:pStyle w:val="Prrafodelista"/>
        <w:numPr>
          <w:ilvl w:val="0"/>
          <w:numId w:val="39"/>
        </w:numPr>
        <w:spacing w:after="0" w:line="240" w:lineRule="auto"/>
        <w:jc w:val="both"/>
        <w:rPr>
          <w:rFonts w:ascii="Arial" w:hAnsi="Arial" w:cs="Arial"/>
          <w:sz w:val="24"/>
          <w:szCs w:val="24"/>
          <w:lang w:val="es-BO"/>
        </w:rPr>
      </w:pPr>
      <w:r w:rsidRPr="00526208">
        <w:rPr>
          <w:rFonts w:ascii="Arial" w:hAnsi="Arial" w:cs="Arial"/>
          <w:sz w:val="24"/>
          <w:szCs w:val="24"/>
          <w:lang w:val="es-BO"/>
        </w:rPr>
        <w:lastRenderedPageBreak/>
        <w:t>COSUDE con 23 millones de bolivianos para los primeros cinco años de funcionamiento.</w:t>
      </w:r>
    </w:p>
    <w:p w:rsidR="00121C85" w:rsidRPr="00526208" w:rsidRDefault="00121C85" w:rsidP="00121C85">
      <w:pPr>
        <w:spacing w:after="0" w:line="240" w:lineRule="auto"/>
        <w:ind w:left="720"/>
        <w:jc w:val="both"/>
        <w:rPr>
          <w:rFonts w:ascii="Arial" w:hAnsi="Arial" w:cs="Arial"/>
          <w:sz w:val="24"/>
          <w:szCs w:val="24"/>
          <w:lang w:val="es-BO"/>
        </w:rPr>
      </w:pPr>
    </w:p>
    <w:p w:rsidR="003960EA" w:rsidRPr="00526208" w:rsidRDefault="003960EA" w:rsidP="00121C85">
      <w:pPr>
        <w:spacing w:after="0" w:line="240" w:lineRule="auto"/>
        <w:ind w:left="720"/>
        <w:jc w:val="both"/>
        <w:rPr>
          <w:rFonts w:ascii="Arial" w:hAnsi="Arial" w:cs="Arial"/>
          <w:sz w:val="24"/>
          <w:szCs w:val="24"/>
          <w:lang w:val="es-BO"/>
        </w:rPr>
      </w:pPr>
    </w:p>
    <w:p w:rsidR="00121C85" w:rsidRPr="00526208" w:rsidRDefault="00121C85" w:rsidP="00121C85">
      <w:pPr>
        <w:pStyle w:val="Prrafodelista"/>
        <w:numPr>
          <w:ilvl w:val="0"/>
          <w:numId w:val="19"/>
        </w:numPr>
        <w:spacing w:after="0" w:line="240" w:lineRule="auto"/>
        <w:jc w:val="both"/>
        <w:rPr>
          <w:rFonts w:ascii="Arial" w:hAnsi="Arial" w:cs="Arial"/>
          <w:sz w:val="24"/>
          <w:szCs w:val="24"/>
          <w:lang w:val="es-BO"/>
        </w:rPr>
      </w:pPr>
      <w:r w:rsidRPr="00526208">
        <w:rPr>
          <w:rFonts w:ascii="Arial" w:hAnsi="Arial" w:cs="Arial"/>
          <w:b/>
          <w:sz w:val="24"/>
          <w:szCs w:val="24"/>
          <w:lang w:val="es-BO"/>
        </w:rPr>
        <w:t>U</w:t>
      </w:r>
      <w:r w:rsidR="00175553" w:rsidRPr="00526208">
        <w:rPr>
          <w:rFonts w:ascii="Arial" w:hAnsi="Arial" w:cs="Arial"/>
          <w:b/>
          <w:sz w:val="24"/>
          <w:szCs w:val="24"/>
          <w:lang w:val="es-BO"/>
        </w:rPr>
        <w:t>niversidades públicas</w:t>
      </w:r>
      <w:r w:rsidR="00175553" w:rsidRPr="00526208">
        <w:rPr>
          <w:rFonts w:ascii="Arial" w:hAnsi="Arial" w:cs="Arial"/>
          <w:sz w:val="24"/>
          <w:szCs w:val="24"/>
          <w:lang w:val="es-BO"/>
        </w:rPr>
        <w:t>,</w:t>
      </w:r>
      <w:r w:rsidRPr="00526208">
        <w:rPr>
          <w:rFonts w:ascii="Arial" w:hAnsi="Arial" w:cs="Arial"/>
          <w:sz w:val="24"/>
          <w:szCs w:val="24"/>
          <w:lang w:val="es-BO"/>
        </w:rPr>
        <w:t xml:space="preserve"> que consiste en un aporte</w:t>
      </w:r>
      <w:r w:rsidR="00175553" w:rsidRPr="00526208">
        <w:rPr>
          <w:rFonts w:ascii="Arial" w:hAnsi="Arial" w:cs="Arial"/>
          <w:sz w:val="24"/>
          <w:szCs w:val="24"/>
          <w:lang w:val="es-BO"/>
        </w:rPr>
        <w:t xml:space="preserve"> </w:t>
      </w:r>
      <w:r w:rsidR="00175553" w:rsidRPr="00526208">
        <w:rPr>
          <w:rFonts w:ascii="Arial" w:hAnsi="Arial" w:cs="Arial"/>
          <w:sz w:val="24"/>
          <w:szCs w:val="24"/>
          <w:lang w:val="es-ES_tradnl"/>
        </w:rPr>
        <w:t xml:space="preserve">que alcanza al 1% de los recursos provenientes del Impuesto Directo </w:t>
      </w:r>
      <w:r w:rsidRPr="00526208">
        <w:rPr>
          <w:rFonts w:ascii="Arial" w:hAnsi="Arial" w:cs="Arial"/>
          <w:sz w:val="24"/>
          <w:szCs w:val="24"/>
          <w:lang w:val="es-ES_tradnl"/>
        </w:rPr>
        <w:t xml:space="preserve">a los Hidrocarburos (IDH), aportes que se realizarán </w:t>
      </w:r>
      <w:r w:rsidR="00175553" w:rsidRPr="00526208">
        <w:rPr>
          <w:rFonts w:ascii="Arial" w:hAnsi="Arial" w:cs="Arial"/>
          <w:sz w:val="24"/>
          <w:szCs w:val="24"/>
          <w:lang w:val="es-ES_tradnl"/>
        </w:rPr>
        <w:t xml:space="preserve">en base al monto de IDH recibido en la última gestión y tiene una periodicidad anual. </w:t>
      </w:r>
      <w:r w:rsidRPr="00526208">
        <w:rPr>
          <w:rFonts w:ascii="Arial" w:hAnsi="Arial" w:cs="Arial"/>
          <w:sz w:val="24"/>
          <w:szCs w:val="24"/>
          <w:lang w:val="es-ES_tradnl"/>
        </w:rPr>
        <w:t xml:space="preserve">Sin embargo, </w:t>
      </w:r>
      <w:r w:rsidRPr="00526208">
        <w:rPr>
          <w:rFonts w:ascii="Arial" w:hAnsi="Arial" w:cs="Arial"/>
          <w:sz w:val="24"/>
          <w:szCs w:val="24"/>
          <w:lang w:val="es-BO"/>
        </w:rPr>
        <w:t>los recursos IDH son variables y varían según el precio internacional del petróleo, por lo que merece un análisis adicional para realizar las proyecciones. En el</w:t>
      </w:r>
      <w:r w:rsidRPr="006658DB">
        <w:rPr>
          <w:rFonts w:ascii="Arial" w:hAnsi="Arial" w:cs="Arial"/>
          <w:sz w:val="24"/>
          <w:szCs w:val="24"/>
          <w:lang w:val="es-BO"/>
        </w:rPr>
        <w:t xml:space="preserve"> Anexo 2</w:t>
      </w:r>
      <w:r w:rsidR="006658DB">
        <w:rPr>
          <w:rFonts w:ascii="Arial" w:hAnsi="Arial" w:cs="Arial"/>
          <w:sz w:val="24"/>
          <w:szCs w:val="24"/>
          <w:lang w:val="es-BO"/>
        </w:rPr>
        <w:t>,</w:t>
      </w:r>
      <w:r w:rsidRPr="006658DB">
        <w:rPr>
          <w:rFonts w:ascii="Arial" w:hAnsi="Arial" w:cs="Arial"/>
          <w:sz w:val="24"/>
          <w:szCs w:val="24"/>
          <w:lang w:val="es-BO"/>
        </w:rPr>
        <w:t xml:space="preserve"> </w:t>
      </w:r>
      <w:r w:rsidRPr="00526208">
        <w:rPr>
          <w:rFonts w:ascii="Arial" w:hAnsi="Arial" w:cs="Arial"/>
          <w:sz w:val="24"/>
          <w:szCs w:val="24"/>
          <w:lang w:val="es-BO"/>
        </w:rPr>
        <w:t>se presenta el análisis y proyección de los recursos IDH de las universidades públicas para los próximos cinco años.</w:t>
      </w:r>
    </w:p>
    <w:p w:rsidR="00121C85" w:rsidRPr="00526208" w:rsidRDefault="00121C85" w:rsidP="003960EA">
      <w:pPr>
        <w:spacing w:after="0" w:line="240" w:lineRule="auto"/>
        <w:jc w:val="both"/>
        <w:rPr>
          <w:rFonts w:ascii="Arial" w:hAnsi="Arial" w:cs="Arial"/>
          <w:sz w:val="24"/>
          <w:szCs w:val="24"/>
          <w:lang w:val="es-BO"/>
        </w:rPr>
      </w:pPr>
    </w:p>
    <w:p w:rsidR="003960EA" w:rsidRPr="00526208" w:rsidRDefault="003960EA" w:rsidP="003960EA">
      <w:pPr>
        <w:pStyle w:val="Prrafodelista"/>
        <w:numPr>
          <w:ilvl w:val="0"/>
          <w:numId w:val="19"/>
        </w:numPr>
        <w:spacing w:after="0" w:line="240" w:lineRule="auto"/>
        <w:jc w:val="both"/>
        <w:rPr>
          <w:rFonts w:ascii="Arial" w:hAnsi="Arial" w:cs="Arial"/>
          <w:sz w:val="24"/>
          <w:szCs w:val="24"/>
          <w:lang w:val="es-BO"/>
        </w:rPr>
      </w:pPr>
      <w:r w:rsidRPr="00526208">
        <w:rPr>
          <w:rFonts w:ascii="Arial" w:hAnsi="Arial" w:cs="Arial"/>
          <w:b/>
          <w:sz w:val="24"/>
          <w:szCs w:val="24"/>
          <w:lang w:val="es-ES_tradnl"/>
        </w:rPr>
        <w:t>Universidades de régimen especial y universidades privadas</w:t>
      </w:r>
      <w:r w:rsidRPr="00526208">
        <w:rPr>
          <w:rFonts w:ascii="Arial" w:hAnsi="Arial" w:cs="Arial"/>
          <w:sz w:val="24"/>
          <w:szCs w:val="24"/>
          <w:lang w:val="es-ES_tradnl"/>
        </w:rPr>
        <w:t xml:space="preserve">, </w:t>
      </w:r>
      <w:r w:rsidR="00A22099" w:rsidRPr="00526208">
        <w:rPr>
          <w:rFonts w:ascii="Arial" w:hAnsi="Arial" w:cs="Arial"/>
          <w:sz w:val="24"/>
          <w:szCs w:val="24"/>
          <w:lang w:val="es-ES_tradnl"/>
        </w:rPr>
        <w:t xml:space="preserve">que </w:t>
      </w:r>
      <w:r w:rsidR="00175553" w:rsidRPr="00526208">
        <w:rPr>
          <w:rFonts w:ascii="Arial" w:hAnsi="Arial" w:cs="Arial"/>
          <w:sz w:val="24"/>
          <w:szCs w:val="24"/>
          <w:lang w:val="es-ES_tradnl"/>
        </w:rPr>
        <w:t xml:space="preserve">según la resolución aprobada en el XII Congreso de Universidades del SUB, este aporte debe ser </w:t>
      </w:r>
      <w:r w:rsidR="00A22099" w:rsidRPr="00526208">
        <w:rPr>
          <w:rFonts w:ascii="Arial" w:hAnsi="Arial" w:cs="Arial"/>
          <w:sz w:val="24"/>
          <w:szCs w:val="24"/>
          <w:lang w:val="es-ES_tradnl"/>
        </w:rPr>
        <w:t>equivalente al aporte de las universidades públicas</w:t>
      </w:r>
      <w:r w:rsidR="00B56D10" w:rsidRPr="00526208">
        <w:rPr>
          <w:rFonts w:ascii="Arial" w:hAnsi="Arial" w:cs="Arial"/>
          <w:sz w:val="24"/>
          <w:szCs w:val="24"/>
          <w:lang w:val="es-ES_tradnl"/>
        </w:rPr>
        <w:t xml:space="preserve"> y de forma anual.</w:t>
      </w:r>
      <w:r w:rsidRPr="00526208">
        <w:rPr>
          <w:rFonts w:ascii="Arial" w:hAnsi="Arial" w:cs="Arial"/>
          <w:sz w:val="24"/>
          <w:szCs w:val="24"/>
          <w:lang w:val="es-ES_tradnl"/>
        </w:rPr>
        <w:t xml:space="preserve"> </w:t>
      </w:r>
      <w:r w:rsidRPr="00526208">
        <w:rPr>
          <w:rFonts w:ascii="Arial" w:hAnsi="Arial" w:cs="Arial"/>
          <w:sz w:val="24"/>
          <w:szCs w:val="24"/>
          <w:lang w:val="es-BO"/>
        </w:rPr>
        <w:t>Para la gestión 2017, cada universidad privada o de régimen especial deberá aportar un monto igual al de la Universidad Nacional de Siglo XX de la gestión 2016. Para fines de estimación del presupuesto de ingresos, se incluirán 4 universidades entre las de régimen especial y las privadas.</w:t>
      </w:r>
    </w:p>
    <w:p w:rsidR="003960EA" w:rsidRPr="00526208" w:rsidRDefault="003960EA" w:rsidP="003960EA">
      <w:pPr>
        <w:spacing w:after="0" w:line="240" w:lineRule="auto"/>
        <w:jc w:val="both"/>
        <w:rPr>
          <w:rFonts w:ascii="Arial" w:hAnsi="Arial" w:cs="Arial"/>
          <w:sz w:val="24"/>
          <w:szCs w:val="24"/>
          <w:lang w:val="es-BO"/>
        </w:rPr>
      </w:pPr>
    </w:p>
    <w:p w:rsidR="00260B34" w:rsidRPr="00526208" w:rsidRDefault="00B56D10" w:rsidP="00B56D10">
      <w:pPr>
        <w:numPr>
          <w:ilvl w:val="0"/>
          <w:numId w:val="9"/>
        </w:numPr>
        <w:spacing w:after="0" w:line="240" w:lineRule="auto"/>
        <w:jc w:val="both"/>
        <w:rPr>
          <w:rFonts w:ascii="Arial" w:hAnsi="Arial" w:cs="Arial"/>
          <w:sz w:val="24"/>
          <w:szCs w:val="24"/>
          <w:lang w:val="es-BO"/>
        </w:rPr>
      </w:pPr>
      <w:r w:rsidRPr="00526208">
        <w:rPr>
          <w:rFonts w:ascii="Arial" w:hAnsi="Arial" w:cs="Arial"/>
          <w:b/>
          <w:sz w:val="24"/>
          <w:szCs w:val="24"/>
          <w:lang w:val="es-BO"/>
        </w:rPr>
        <w:t>Organismos internacionales</w:t>
      </w:r>
      <w:r w:rsidRPr="00526208">
        <w:rPr>
          <w:rFonts w:ascii="Arial" w:hAnsi="Arial" w:cs="Arial"/>
          <w:sz w:val="24"/>
          <w:szCs w:val="24"/>
          <w:lang w:val="es-BO"/>
        </w:rPr>
        <w:t xml:space="preserve"> a través de líneas de financiamiento para las actividades que requiere </w:t>
      </w:r>
      <w:r w:rsidR="006658DB">
        <w:rPr>
          <w:rFonts w:ascii="Arial" w:hAnsi="Arial" w:cs="Arial"/>
          <w:sz w:val="24"/>
          <w:szCs w:val="24"/>
          <w:lang w:val="es-BO"/>
        </w:rPr>
        <w:t>la ANUCTI</w:t>
      </w:r>
      <w:r w:rsidRPr="00526208">
        <w:rPr>
          <w:rFonts w:ascii="Arial" w:hAnsi="Arial" w:cs="Arial"/>
          <w:sz w:val="24"/>
          <w:szCs w:val="24"/>
          <w:lang w:val="es-BO"/>
        </w:rPr>
        <w:t xml:space="preserve">, estos fondos corresponden a ciencia, tecnología e innovación que son financiados por </w:t>
      </w:r>
      <w:r w:rsidR="00260B34" w:rsidRPr="00526208">
        <w:rPr>
          <w:rFonts w:ascii="Arial" w:hAnsi="Arial" w:cs="Arial"/>
          <w:sz w:val="24"/>
          <w:szCs w:val="24"/>
          <w:lang w:val="es-BO"/>
        </w:rPr>
        <w:t>el Banco Mundial</w:t>
      </w:r>
      <w:r w:rsidRPr="00526208">
        <w:rPr>
          <w:rFonts w:ascii="Arial" w:hAnsi="Arial" w:cs="Arial"/>
          <w:sz w:val="24"/>
          <w:szCs w:val="24"/>
          <w:lang w:val="es-BO"/>
        </w:rPr>
        <w:t xml:space="preserve"> (BM)</w:t>
      </w:r>
      <w:r w:rsidR="00260B34" w:rsidRPr="00526208">
        <w:rPr>
          <w:rFonts w:ascii="Arial" w:hAnsi="Arial" w:cs="Arial"/>
          <w:sz w:val="24"/>
          <w:szCs w:val="24"/>
          <w:lang w:val="es-BO"/>
        </w:rPr>
        <w:t>, Banco Interamerican</w:t>
      </w:r>
      <w:r w:rsidRPr="00526208">
        <w:rPr>
          <w:rFonts w:ascii="Arial" w:hAnsi="Arial" w:cs="Arial"/>
          <w:sz w:val="24"/>
          <w:szCs w:val="24"/>
          <w:lang w:val="es-BO"/>
        </w:rPr>
        <w:t>o de Desarrollo (BID)</w:t>
      </w:r>
      <w:r w:rsidR="00260B34" w:rsidRPr="00526208">
        <w:rPr>
          <w:rFonts w:ascii="Arial" w:hAnsi="Arial" w:cs="Arial"/>
          <w:sz w:val="24"/>
          <w:szCs w:val="24"/>
          <w:lang w:val="es-BO"/>
        </w:rPr>
        <w:t xml:space="preserve"> y otras.</w:t>
      </w:r>
      <w:r w:rsidRPr="00526208">
        <w:rPr>
          <w:rFonts w:ascii="Arial" w:hAnsi="Arial" w:cs="Arial"/>
          <w:sz w:val="24"/>
          <w:szCs w:val="24"/>
          <w:lang w:val="es-BO"/>
        </w:rPr>
        <w:t xml:space="preserve"> Estos financiamientos corresponden a créditos blandos o créditos a fondo perdido.</w:t>
      </w:r>
      <w:r w:rsidR="003960EA" w:rsidRPr="00526208">
        <w:rPr>
          <w:rFonts w:ascii="Arial" w:hAnsi="Arial" w:cs="Arial"/>
          <w:sz w:val="24"/>
          <w:szCs w:val="24"/>
          <w:lang w:val="es-BO"/>
        </w:rPr>
        <w:t xml:space="preserve"> Para la consecución de este tipo de recursos se requiere el patrocinio del Gobierno central, por lo que su trámite requiere de mayores requisitos.</w:t>
      </w:r>
    </w:p>
    <w:p w:rsidR="003960EA" w:rsidRPr="00526208" w:rsidRDefault="003960EA" w:rsidP="003960EA">
      <w:pPr>
        <w:spacing w:after="0" w:line="240" w:lineRule="auto"/>
        <w:ind w:left="720"/>
        <w:jc w:val="both"/>
        <w:rPr>
          <w:rFonts w:ascii="Arial" w:hAnsi="Arial" w:cs="Arial"/>
          <w:sz w:val="24"/>
          <w:szCs w:val="24"/>
          <w:lang w:val="es-BO"/>
        </w:rPr>
      </w:pPr>
    </w:p>
    <w:p w:rsidR="003960EA" w:rsidRPr="00526208" w:rsidRDefault="003960EA" w:rsidP="00E2032E">
      <w:pPr>
        <w:numPr>
          <w:ilvl w:val="0"/>
          <w:numId w:val="9"/>
        </w:numPr>
        <w:spacing w:after="0" w:line="240" w:lineRule="auto"/>
        <w:jc w:val="both"/>
        <w:rPr>
          <w:rFonts w:ascii="Arial" w:hAnsi="Arial" w:cs="Arial"/>
          <w:sz w:val="24"/>
          <w:szCs w:val="24"/>
          <w:lang w:val="es-BO"/>
        </w:rPr>
      </w:pPr>
      <w:r w:rsidRPr="00526208">
        <w:rPr>
          <w:rFonts w:ascii="Arial" w:hAnsi="Arial" w:cs="Arial"/>
          <w:b/>
          <w:sz w:val="24"/>
          <w:szCs w:val="24"/>
          <w:lang w:val="es-BO"/>
        </w:rPr>
        <w:t>E</w:t>
      </w:r>
      <w:r w:rsidR="00A22099" w:rsidRPr="00526208">
        <w:rPr>
          <w:rFonts w:ascii="Arial" w:hAnsi="Arial" w:cs="Arial"/>
          <w:b/>
          <w:sz w:val="24"/>
          <w:szCs w:val="24"/>
          <w:lang w:val="es-BO"/>
        </w:rPr>
        <w:t>ntidades de sector privado o público</w:t>
      </w:r>
      <w:r w:rsidR="00A22099" w:rsidRPr="00526208">
        <w:rPr>
          <w:rFonts w:ascii="Arial" w:hAnsi="Arial" w:cs="Arial"/>
          <w:sz w:val="24"/>
          <w:szCs w:val="24"/>
          <w:lang w:val="es-BO"/>
        </w:rPr>
        <w:t>, en este grupo de financiadores se consideran</w:t>
      </w:r>
      <w:r w:rsidR="00B56D10" w:rsidRPr="00526208">
        <w:rPr>
          <w:rFonts w:ascii="Arial" w:hAnsi="Arial" w:cs="Arial"/>
          <w:sz w:val="24"/>
          <w:szCs w:val="24"/>
          <w:lang w:val="es-BO"/>
        </w:rPr>
        <w:t xml:space="preserve"> a entidades de investigación, </w:t>
      </w:r>
      <w:r w:rsidR="00A22099" w:rsidRPr="00526208">
        <w:rPr>
          <w:rFonts w:ascii="Arial" w:hAnsi="Arial" w:cs="Arial"/>
          <w:sz w:val="24"/>
          <w:szCs w:val="24"/>
          <w:lang w:val="es-BO"/>
        </w:rPr>
        <w:t>desarrollo</w:t>
      </w:r>
      <w:r w:rsidR="00B56D10" w:rsidRPr="00526208">
        <w:rPr>
          <w:rFonts w:ascii="Arial" w:hAnsi="Arial" w:cs="Arial"/>
          <w:sz w:val="24"/>
          <w:szCs w:val="24"/>
          <w:lang w:val="es-BO"/>
        </w:rPr>
        <w:t xml:space="preserve"> o inversionistas privados, los que </w:t>
      </w:r>
      <w:r w:rsidR="00260B34" w:rsidRPr="00526208">
        <w:rPr>
          <w:rFonts w:ascii="Arial" w:hAnsi="Arial" w:cs="Arial"/>
          <w:sz w:val="24"/>
          <w:szCs w:val="24"/>
          <w:lang w:val="es-BO"/>
        </w:rPr>
        <w:t>debe</w:t>
      </w:r>
      <w:r w:rsidR="00B56D10" w:rsidRPr="00526208">
        <w:rPr>
          <w:rFonts w:ascii="Arial" w:hAnsi="Arial" w:cs="Arial"/>
          <w:sz w:val="24"/>
          <w:szCs w:val="24"/>
          <w:lang w:val="es-BO"/>
        </w:rPr>
        <w:t>n estar registrados en el S</w:t>
      </w:r>
      <w:r w:rsidR="006658DB">
        <w:rPr>
          <w:rFonts w:ascii="Arial" w:hAnsi="Arial" w:cs="Arial"/>
          <w:sz w:val="24"/>
          <w:szCs w:val="24"/>
          <w:lang w:val="es-BO"/>
        </w:rPr>
        <w:t>UII</w:t>
      </w:r>
      <w:r w:rsidR="00B56D10" w:rsidRPr="00526208">
        <w:rPr>
          <w:rFonts w:ascii="Arial" w:hAnsi="Arial" w:cs="Arial"/>
          <w:sz w:val="24"/>
          <w:szCs w:val="24"/>
          <w:lang w:val="es-BO"/>
        </w:rPr>
        <w:t>.</w:t>
      </w:r>
      <w:r w:rsidR="00260B34" w:rsidRPr="00526208">
        <w:rPr>
          <w:rFonts w:ascii="Arial" w:hAnsi="Arial" w:cs="Arial"/>
          <w:sz w:val="24"/>
          <w:szCs w:val="24"/>
          <w:lang w:val="es-BO"/>
        </w:rPr>
        <w:t xml:space="preserve"> </w:t>
      </w:r>
      <w:r w:rsidR="00B56D10" w:rsidRPr="00526208">
        <w:rPr>
          <w:rFonts w:ascii="Arial" w:hAnsi="Arial" w:cs="Arial"/>
          <w:sz w:val="24"/>
          <w:szCs w:val="24"/>
          <w:lang w:val="es-BO"/>
        </w:rPr>
        <w:t xml:space="preserve">Si este aporte corresponde a entidades de investigación y desarrollo, </w:t>
      </w:r>
      <w:r w:rsidR="00260B34" w:rsidRPr="00526208">
        <w:rPr>
          <w:rFonts w:ascii="Arial" w:hAnsi="Arial" w:cs="Arial"/>
          <w:sz w:val="24"/>
          <w:szCs w:val="24"/>
          <w:lang w:val="es-BO"/>
        </w:rPr>
        <w:t xml:space="preserve">el </w:t>
      </w:r>
      <w:r w:rsidR="00B56D10" w:rsidRPr="00526208">
        <w:rPr>
          <w:rFonts w:ascii="Arial" w:hAnsi="Arial" w:cs="Arial"/>
          <w:sz w:val="24"/>
          <w:szCs w:val="24"/>
          <w:lang w:val="es-BO"/>
        </w:rPr>
        <w:t xml:space="preserve">monto a aportar debe ser similar al aportado por las universidades privadas. En el caso de corresponder a inversionistas privados, estos aportes tendrán el carácter de capital ángel y el monto dependerá del tipo de emprendimiento o innovación que se realiza, en este último caso, el aporte será para cada proyecto. </w:t>
      </w:r>
      <w:r w:rsidRPr="00526208">
        <w:rPr>
          <w:rFonts w:ascii="Arial" w:hAnsi="Arial" w:cs="Arial"/>
          <w:sz w:val="24"/>
          <w:szCs w:val="24"/>
          <w:lang w:val="es-BO"/>
        </w:rPr>
        <w:t xml:space="preserve"> Para realizar la proyección de estos recursos, se consideran tres instituciones públicas y/o privado con aporte igual al de la Universidad de Siglo XX.</w:t>
      </w:r>
    </w:p>
    <w:p w:rsidR="003960EA" w:rsidRPr="00526208" w:rsidRDefault="003960EA" w:rsidP="003960EA">
      <w:pPr>
        <w:spacing w:after="0" w:line="240" w:lineRule="auto"/>
        <w:jc w:val="both"/>
        <w:rPr>
          <w:rFonts w:ascii="Arial" w:hAnsi="Arial" w:cs="Arial"/>
          <w:sz w:val="24"/>
          <w:szCs w:val="24"/>
          <w:lang w:val="es-BO"/>
        </w:rPr>
      </w:pPr>
    </w:p>
    <w:p w:rsidR="00121C85" w:rsidRPr="00526208" w:rsidRDefault="00260B34" w:rsidP="00121C85">
      <w:pPr>
        <w:numPr>
          <w:ilvl w:val="0"/>
          <w:numId w:val="9"/>
        </w:numPr>
        <w:spacing w:after="0" w:line="240" w:lineRule="auto"/>
        <w:jc w:val="both"/>
        <w:rPr>
          <w:rFonts w:ascii="Arial" w:hAnsi="Arial" w:cs="Arial"/>
          <w:sz w:val="24"/>
          <w:szCs w:val="24"/>
          <w:lang w:val="es-BO"/>
        </w:rPr>
      </w:pPr>
      <w:r w:rsidRPr="00526208">
        <w:rPr>
          <w:rFonts w:ascii="Arial" w:hAnsi="Arial" w:cs="Arial"/>
          <w:b/>
          <w:sz w:val="24"/>
          <w:szCs w:val="24"/>
          <w:lang w:val="es-BO"/>
        </w:rPr>
        <w:t>Ingresos propios</w:t>
      </w:r>
      <w:r w:rsidRPr="00526208">
        <w:rPr>
          <w:rFonts w:ascii="Arial" w:hAnsi="Arial" w:cs="Arial"/>
          <w:sz w:val="24"/>
          <w:szCs w:val="24"/>
          <w:lang w:val="es-BO"/>
        </w:rPr>
        <w:t xml:space="preserve">, que corresponden a recursos generados por derechos de propiedad intelectual, los mismos que deben ser regulados por la agencia. Para el análisis financiero de la </w:t>
      </w:r>
      <w:r w:rsidR="006658DB">
        <w:rPr>
          <w:rFonts w:ascii="Arial" w:hAnsi="Arial" w:cs="Arial"/>
          <w:sz w:val="24"/>
          <w:szCs w:val="24"/>
          <w:lang w:val="es-BO"/>
        </w:rPr>
        <w:t>ANUCTI</w:t>
      </w:r>
      <w:r w:rsidRPr="00526208">
        <w:rPr>
          <w:rFonts w:ascii="Arial" w:hAnsi="Arial" w:cs="Arial"/>
          <w:sz w:val="24"/>
          <w:szCs w:val="24"/>
          <w:lang w:val="es-BO"/>
        </w:rPr>
        <w:t xml:space="preserve"> se considera</w:t>
      </w:r>
      <w:r w:rsidR="00121C85" w:rsidRPr="00526208">
        <w:rPr>
          <w:rFonts w:ascii="Arial" w:hAnsi="Arial" w:cs="Arial"/>
          <w:sz w:val="24"/>
          <w:szCs w:val="24"/>
          <w:lang w:val="es-BO"/>
        </w:rPr>
        <w:t>: a) Para entidades beneficiarias con fines de lucro hasta</w:t>
      </w:r>
      <w:r w:rsidRPr="00526208">
        <w:rPr>
          <w:rFonts w:ascii="Arial" w:hAnsi="Arial" w:cs="Arial"/>
          <w:sz w:val="24"/>
          <w:szCs w:val="24"/>
          <w:lang w:val="es-BO"/>
        </w:rPr>
        <w:t xml:space="preserve"> un </w:t>
      </w:r>
      <w:r w:rsidR="00121C85" w:rsidRPr="00526208">
        <w:rPr>
          <w:rFonts w:ascii="Arial" w:hAnsi="Arial" w:cs="Arial"/>
          <w:sz w:val="24"/>
          <w:szCs w:val="24"/>
          <w:lang w:val="es-BO"/>
        </w:rPr>
        <w:t>20% de las utilidades generadas de forma anual, b) Para entidades sin fines de lucro no se cobrará nada, es decir, los financiamientos serán a fondo perdido. La estructura de aplicación de recursos será de 50% para cada tipo de beneficiaros (con o sin fines de lucro).</w:t>
      </w:r>
    </w:p>
    <w:p w:rsidR="00260B34" w:rsidRPr="00526208" w:rsidRDefault="00260B34" w:rsidP="00121C85">
      <w:pPr>
        <w:spacing w:after="0" w:line="240" w:lineRule="auto"/>
        <w:ind w:left="720"/>
        <w:jc w:val="both"/>
        <w:rPr>
          <w:rFonts w:ascii="Arial" w:hAnsi="Arial" w:cs="Arial"/>
          <w:sz w:val="24"/>
          <w:szCs w:val="24"/>
          <w:lang w:val="es-BO"/>
        </w:rPr>
      </w:pPr>
    </w:p>
    <w:p w:rsidR="00121C85" w:rsidRPr="00526208" w:rsidRDefault="00121C85" w:rsidP="00260B34">
      <w:pPr>
        <w:spacing w:after="0" w:line="240" w:lineRule="auto"/>
        <w:jc w:val="both"/>
        <w:rPr>
          <w:rFonts w:ascii="Arial" w:hAnsi="Arial" w:cs="Arial"/>
          <w:sz w:val="24"/>
          <w:szCs w:val="24"/>
          <w:lang w:val="es-BO"/>
        </w:rPr>
      </w:pPr>
    </w:p>
    <w:p w:rsidR="0054735A" w:rsidRPr="00526208" w:rsidRDefault="0054735A" w:rsidP="00260B34">
      <w:pPr>
        <w:spacing w:after="0" w:line="240" w:lineRule="auto"/>
        <w:jc w:val="both"/>
        <w:rPr>
          <w:rFonts w:ascii="Arial" w:hAnsi="Arial" w:cs="Arial"/>
          <w:sz w:val="24"/>
          <w:szCs w:val="24"/>
          <w:lang w:val="es-BO"/>
        </w:rPr>
      </w:pPr>
      <w:r w:rsidRPr="00526208">
        <w:rPr>
          <w:rFonts w:ascii="Arial" w:hAnsi="Arial" w:cs="Arial"/>
          <w:sz w:val="24"/>
          <w:szCs w:val="24"/>
          <w:lang w:val="es-BO"/>
        </w:rPr>
        <w:t>En base a las consideraciones anteri</w:t>
      </w:r>
      <w:r w:rsidR="006658DB">
        <w:rPr>
          <w:rFonts w:ascii="Arial" w:hAnsi="Arial" w:cs="Arial"/>
          <w:sz w:val="24"/>
          <w:szCs w:val="24"/>
          <w:lang w:val="es-BO"/>
        </w:rPr>
        <w:t>ores, se presenta en el Cuadro 3</w:t>
      </w:r>
      <w:r w:rsidRPr="00526208">
        <w:rPr>
          <w:rFonts w:ascii="Arial" w:hAnsi="Arial" w:cs="Arial"/>
          <w:sz w:val="24"/>
          <w:szCs w:val="24"/>
          <w:lang w:val="es-BO"/>
        </w:rPr>
        <w:t xml:space="preserve"> la proyección de ingresos para la agencia </w:t>
      </w:r>
      <w:r w:rsidR="006658DB">
        <w:rPr>
          <w:rFonts w:ascii="Arial" w:hAnsi="Arial" w:cs="Arial"/>
          <w:sz w:val="24"/>
          <w:szCs w:val="24"/>
          <w:lang w:val="es-BO"/>
        </w:rPr>
        <w:t>ANUCTI</w:t>
      </w:r>
      <w:r w:rsidRPr="00526208">
        <w:rPr>
          <w:rFonts w:ascii="Arial" w:hAnsi="Arial" w:cs="Arial"/>
          <w:sz w:val="24"/>
          <w:szCs w:val="24"/>
          <w:lang w:val="es-BO"/>
        </w:rPr>
        <w:t>.</w:t>
      </w:r>
    </w:p>
    <w:p w:rsidR="003960EA" w:rsidRDefault="003960EA" w:rsidP="00260B34">
      <w:pPr>
        <w:spacing w:after="0" w:line="240" w:lineRule="auto"/>
        <w:jc w:val="both"/>
        <w:rPr>
          <w:rFonts w:ascii="Arial" w:hAnsi="Arial" w:cs="Arial"/>
          <w:sz w:val="24"/>
          <w:szCs w:val="24"/>
          <w:lang w:val="es-BO"/>
        </w:rPr>
      </w:pPr>
    </w:p>
    <w:p w:rsidR="001D752D" w:rsidRDefault="001D752D" w:rsidP="00260B34">
      <w:pPr>
        <w:spacing w:after="0" w:line="240" w:lineRule="auto"/>
        <w:jc w:val="both"/>
        <w:rPr>
          <w:rFonts w:ascii="Arial" w:hAnsi="Arial" w:cs="Arial"/>
          <w:sz w:val="24"/>
          <w:szCs w:val="24"/>
          <w:lang w:val="es-BO"/>
        </w:rPr>
      </w:pPr>
    </w:p>
    <w:p w:rsidR="001D752D" w:rsidRPr="00526208" w:rsidRDefault="001D752D" w:rsidP="00260B34">
      <w:pPr>
        <w:spacing w:after="0" w:line="240" w:lineRule="auto"/>
        <w:jc w:val="both"/>
        <w:rPr>
          <w:rFonts w:ascii="Arial" w:hAnsi="Arial" w:cs="Arial"/>
          <w:sz w:val="24"/>
          <w:szCs w:val="24"/>
          <w:lang w:val="es-BO"/>
        </w:rPr>
      </w:pPr>
    </w:p>
    <w:p w:rsidR="0054735A" w:rsidRPr="00526208" w:rsidRDefault="0054735A" w:rsidP="0054735A">
      <w:pPr>
        <w:spacing w:after="0" w:line="240" w:lineRule="auto"/>
        <w:jc w:val="center"/>
        <w:rPr>
          <w:rFonts w:ascii="Arial" w:hAnsi="Arial" w:cs="Arial"/>
          <w:b/>
          <w:sz w:val="24"/>
          <w:szCs w:val="24"/>
          <w:lang w:val="es-BO"/>
        </w:rPr>
      </w:pPr>
      <w:r w:rsidRPr="00526208">
        <w:rPr>
          <w:rFonts w:ascii="Arial" w:hAnsi="Arial" w:cs="Arial"/>
          <w:b/>
          <w:sz w:val="24"/>
          <w:szCs w:val="24"/>
          <w:lang w:val="es-BO"/>
        </w:rPr>
        <w:t xml:space="preserve">Cuadro </w:t>
      </w:r>
      <w:r w:rsidR="006658DB">
        <w:rPr>
          <w:rFonts w:ascii="Arial" w:hAnsi="Arial" w:cs="Arial"/>
          <w:b/>
          <w:sz w:val="24"/>
          <w:szCs w:val="24"/>
          <w:lang w:val="es-BO"/>
        </w:rPr>
        <w:t>3</w:t>
      </w:r>
    </w:p>
    <w:p w:rsidR="0054735A" w:rsidRPr="00526208" w:rsidRDefault="00CD710B" w:rsidP="0054735A">
      <w:pPr>
        <w:spacing w:after="0" w:line="240" w:lineRule="auto"/>
        <w:jc w:val="center"/>
        <w:rPr>
          <w:rFonts w:ascii="Arial" w:hAnsi="Arial" w:cs="Arial"/>
          <w:b/>
          <w:sz w:val="24"/>
          <w:szCs w:val="24"/>
          <w:lang w:val="es-BO"/>
        </w:rPr>
      </w:pPr>
      <w:r w:rsidRPr="00526208">
        <w:rPr>
          <w:rFonts w:ascii="Arial" w:hAnsi="Arial" w:cs="Arial"/>
          <w:b/>
          <w:sz w:val="24"/>
          <w:szCs w:val="24"/>
          <w:lang w:val="es-BO"/>
        </w:rPr>
        <w:t>Estimación</w:t>
      </w:r>
      <w:r w:rsidR="0054735A" w:rsidRPr="00526208">
        <w:rPr>
          <w:rFonts w:ascii="Arial" w:hAnsi="Arial" w:cs="Arial"/>
          <w:b/>
          <w:sz w:val="24"/>
          <w:szCs w:val="24"/>
          <w:lang w:val="es-BO"/>
        </w:rPr>
        <w:t xml:space="preserve"> de Ingresos de</w:t>
      </w:r>
      <w:r w:rsidR="001D752D">
        <w:rPr>
          <w:rFonts w:ascii="Arial" w:hAnsi="Arial" w:cs="Arial"/>
          <w:b/>
          <w:sz w:val="24"/>
          <w:szCs w:val="24"/>
          <w:lang w:val="es-BO"/>
        </w:rPr>
        <w:t xml:space="preserve"> </w:t>
      </w:r>
      <w:r w:rsidR="0054735A" w:rsidRPr="00526208">
        <w:rPr>
          <w:rFonts w:ascii="Arial" w:hAnsi="Arial" w:cs="Arial"/>
          <w:b/>
          <w:sz w:val="24"/>
          <w:szCs w:val="24"/>
          <w:lang w:val="es-BO"/>
        </w:rPr>
        <w:t>l</w:t>
      </w:r>
      <w:r w:rsidR="001D752D">
        <w:rPr>
          <w:rFonts w:ascii="Arial" w:hAnsi="Arial" w:cs="Arial"/>
          <w:b/>
          <w:sz w:val="24"/>
          <w:szCs w:val="24"/>
          <w:lang w:val="es-BO"/>
        </w:rPr>
        <w:t>a</w:t>
      </w:r>
      <w:r w:rsidR="0054735A" w:rsidRPr="00526208">
        <w:rPr>
          <w:rFonts w:ascii="Arial" w:hAnsi="Arial" w:cs="Arial"/>
          <w:b/>
          <w:sz w:val="24"/>
          <w:szCs w:val="24"/>
          <w:lang w:val="es-BO"/>
        </w:rPr>
        <w:t xml:space="preserve"> </w:t>
      </w:r>
      <w:r w:rsidR="001D752D">
        <w:rPr>
          <w:rFonts w:ascii="Arial" w:hAnsi="Arial" w:cs="Arial"/>
          <w:b/>
          <w:sz w:val="24"/>
          <w:szCs w:val="24"/>
          <w:lang w:val="es-BO"/>
        </w:rPr>
        <w:t>ANUCTI</w:t>
      </w:r>
    </w:p>
    <w:p w:rsidR="0054735A" w:rsidRPr="00526208" w:rsidRDefault="0054735A" w:rsidP="0054735A">
      <w:pPr>
        <w:spacing w:after="0" w:line="240" w:lineRule="auto"/>
        <w:jc w:val="center"/>
        <w:rPr>
          <w:rFonts w:ascii="Arial" w:hAnsi="Arial" w:cs="Arial"/>
          <w:b/>
          <w:sz w:val="24"/>
          <w:szCs w:val="24"/>
          <w:lang w:val="es-BO"/>
        </w:rPr>
      </w:pPr>
      <w:r w:rsidRPr="00526208">
        <w:rPr>
          <w:rFonts w:ascii="Arial" w:hAnsi="Arial" w:cs="Arial"/>
          <w:b/>
          <w:sz w:val="24"/>
          <w:szCs w:val="24"/>
          <w:lang w:val="es-BO"/>
        </w:rPr>
        <w:t>Periodo: 2017-2021</w:t>
      </w:r>
    </w:p>
    <w:p w:rsidR="0054735A" w:rsidRDefault="0054735A" w:rsidP="0054735A">
      <w:pPr>
        <w:spacing w:after="0" w:line="240" w:lineRule="auto"/>
        <w:jc w:val="center"/>
        <w:rPr>
          <w:rFonts w:ascii="Times New Roman" w:hAnsi="Times New Roman" w:cs="Times New Roman"/>
          <w:b/>
          <w:sz w:val="24"/>
          <w:szCs w:val="24"/>
          <w:lang w:val="es-BO"/>
        </w:rPr>
      </w:pPr>
      <w:r w:rsidRPr="00526208">
        <w:rPr>
          <w:rFonts w:ascii="Arial" w:hAnsi="Arial" w:cs="Arial"/>
          <w:b/>
          <w:sz w:val="24"/>
          <w:szCs w:val="24"/>
          <w:lang w:val="es-BO"/>
        </w:rPr>
        <w:t>(En Bs.)</w:t>
      </w:r>
    </w:p>
    <w:tbl>
      <w:tblPr>
        <w:tblW w:w="8739" w:type="dxa"/>
        <w:jc w:val="center"/>
        <w:tblLook w:val="04A0" w:firstRow="1" w:lastRow="0" w:firstColumn="1" w:lastColumn="0" w:noHBand="0" w:noVBand="1"/>
      </w:tblPr>
      <w:tblGrid>
        <w:gridCol w:w="3964"/>
        <w:gridCol w:w="955"/>
        <w:gridCol w:w="955"/>
        <w:gridCol w:w="955"/>
        <w:gridCol w:w="955"/>
        <w:gridCol w:w="955"/>
      </w:tblGrid>
      <w:tr w:rsidR="00CD710B" w:rsidRPr="00CD710B" w:rsidTr="00335A6B">
        <w:trPr>
          <w:trHeight w:val="330"/>
          <w:jc w:val="center"/>
        </w:trPr>
        <w:tc>
          <w:tcPr>
            <w:tcW w:w="39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jc w:val="center"/>
              <w:rPr>
                <w:rFonts w:ascii="Arial Narrow" w:eastAsia="Times New Roman" w:hAnsi="Arial Narrow" w:cs="Calibri"/>
                <w:b/>
                <w:bCs/>
                <w:color w:val="000000"/>
              </w:rPr>
            </w:pPr>
            <w:r w:rsidRPr="00CD710B">
              <w:rPr>
                <w:rFonts w:ascii="Arial Narrow" w:eastAsia="Times New Roman" w:hAnsi="Arial Narrow" w:cs="Calibri"/>
                <w:b/>
                <w:bCs/>
                <w:color w:val="000000"/>
              </w:rPr>
              <w:t xml:space="preserve">FUENTE </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jc w:val="center"/>
              <w:rPr>
                <w:rFonts w:ascii="Arial Narrow" w:eastAsia="Times New Roman" w:hAnsi="Arial Narrow" w:cs="Calibri"/>
                <w:b/>
                <w:bCs/>
                <w:color w:val="000000"/>
              </w:rPr>
            </w:pPr>
            <w:r w:rsidRPr="00CD710B">
              <w:rPr>
                <w:rFonts w:ascii="Arial Narrow" w:eastAsia="Times New Roman" w:hAnsi="Arial Narrow" w:cs="Calibri"/>
                <w:b/>
                <w:bCs/>
                <w:color w:val="000000"/>
              </w:rPr>
              <w:t>2017</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jc w:val="center"/>
              <w:rPr>
                <w:rFonts w:ascii="Arial Narrow" w:eastAsia="Times New Roman" w:hAnsi="Arial Narrow" w:cs="Calibri"/>
                <w:b/>
                <w:bCs/>
                <w:color w:val="000000"/>
              </w:rPr>
            </w:pPr>
            <w:r w:rsidRPr="00CD710B">
              <w:rPr>
                <w:rFonts w:ascii="Arial Narrow" w:eastAsia="Times New Roman" w:hAnsi="Arial Narrow" w:cs="Calibri"/>
                <w:b/>
                <w:bCs/>
                <w:color w:val="000000"/>
              </w:rPr>
              <w:t>2018</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jc w:val="center"/>
              <w:rPr>
                <w:rFonts w:ascii="Arial Narrow" w:eastAsia="Times New Roman" w:hAnsi="Arial Narrow" w:cs="Calibri"/>
                <w:b/>
                <w:bCs/>
                <w:color w:val="000000"/>
              </w:rPr>
            </w:pPr>
            <w:r w:rsidRPr="00CD710B">
              <w:rPr>
                <w:rFonts w:ascii="Arial Narrow" w:eastAsia="Times New Roman" w:hAnsi="Arial Narrow" w:cs="Calibri"/>
                <w:b/>
                <w:bCs/>
                <w:color w:val="000000"/>
              </w:rPr>
              <w:t>2019</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jc w:val="center"/>
              <w:rPr>
                <w:rFonts w:ascii="Arial Narrow" w:eastAsia="Times New Roman" w:hAnsi="Arial Narrow" w:cs="Calibri"/>
                <w:b/>
                <w:bCs/>
                <w:color w:val="000000"/>
              </w:rPr>
            </w:pPr>
            <w:r w:rsidRPr="00CD710B">
              <w:rPr>
                <w:rFonts w:ascii="Arial Narrow" w:eastAsia="Times New Roman" w:hAnsi="Arial Narrow" w:cs="Calibri"/>
                <w:b/>
                <w:bCs/>
                <w:color w:val="000000"/>
              </w:rPr>
              <w:t>2020</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jc w:val="center"/>
              <w:rPr>
                <w:rFonts w:ascii="Arial Narrow" w:eastAsia="Times New Roman" w:hAnsi="Arial Narrow" w:cs="Calibri"/>
                <w:b/>
                <w:bCs/>
                <w:color w:val="000000"/>
              </w:rPr>
            </w:pPr>
            <w:r w:rsidRPr="00CD710B">
              <w:rPr>
                <w:rFonts w:ascii="Arial Narrow" w:eastAsia="Times New Roman" w:hAnsi="Arial Narrow" w:cs="Calibri"/>
                <w:b/>
                <w:bCs/>
                <w:color w:val="000000"/>
              </w:rPr>
              <w:t>2021</w:t>
            </w:r>
          </w:p>
        </w:tc>
      </w:tr>
      <w:tr w:rsidR="00CD710B" w:rsidRPr="00CD710B" w:rsidTr="00335A6B">
        <w:trPr>
          <w:trHeight w:val="300"/>
          <w:jc w:val="center"/>
        </w:trPr>
        <w:tc>
          <w:tcPr>
            <w:tcW w:w="3964" w:type="dxa"/>
            <w:tcBorders>
              <w:top w:val="nil"/>
              <w:left w:val="single" w:sz="4" w:space="0" w:color="auto"/>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Universidades Públicas (1% del IDH)</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4.365.860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4.365.860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4.365.860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4.365.860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4.365.860 </w:t>
            </w:r>
          </w:p>
        </w:tc>
      </w:tr>
      <w:tr w:rsidR="00CD710B" w:rsidRPr="00CD710B" w:rsidTr="00335A6B">
        <w:trPr>
          <w:trHeight w:val="300"/>
          <w:jc w:val="center"/>
        </w:trPr>
        <w:tc>
          <w:tcPr>
            <w:tcW w:w="3964" w:type="dxa"/>
            <w:tcBorders>
              <w:top w:val="nil"/>
              <w:left w:val="single" w:sz="4" w:space="0" w:color="auto"/>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Cooperación Internacional</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6.200.000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6.200.000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6.200.000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6.200.000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6.200.000 </w:t>
            </w:r>
          </w:p>
        </w:tc>
      </w:tr>
      <w:tr w:rsidR="00CD710B" w:rsidRPr="00CD710B" w:rsidTr="00335A6B">
        <w:trPr>
          <w:trHeight w:val="300"/>
          <w:jc w:val="center"/>
        </w:trPr>
        <w:tc>
          <w:tcPr>
            <w:tcW w:w="3964" w:type="dxa"/>
            <w:tcBorders>
              <w:top w:val="nil"/>
              <w:left w:val="single" w:sz="4" w:space="0" w:color="auto"/>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6"/>
                <w:szCs w:val="16"/>
              </w:rPr>
            </w:pPr>
            <w:r w:rsidRPr="00CD710B">
              <w:rPr>
                <w:rFonts w:ascii="Arial Narrow" w:eastAsia="Times New Roman" w:hAnsi="Arial Narrow" w:cs="Calibri"/>
                <w:b/>
                <w:bCs/>
                <w:color w:val="000000"/>
                <w:sz w:val="16"/>
                <w:szCs w:val="16"/>
              </w:rPr>
              <w:t xml:space="preserve">   . ASDI</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1.600.000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1.600.000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1.600.000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1.600.000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1.600.000 </w:t>
            </w:r>
          </w:p>
        </w:tc>
      </w:tr>
      <w:tr w:rsidR="00CD710B" w:rsidRPr="00CD710B" w:rsidTr="00335A6B">
        <w:trPr>
          <w:trHeight w:val="300"/>
          <w:jc w:val="center"/>
        </w:trPr>
        <w:tc>
          <w:tcPr>
            <w:tcW w:w="3964" w:type="dxa"/>
            <w:tcBorders>
              <w:top w:val="nil"/>
              <w:left w:val="single" w:sz="4" w:space="0" w:color="auto"/>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6"/>
                <w:szCs w:val="16"/>
              </w:rPr>
            </w:pPr>
            <w:r w:rsidRPr="00CD710B">
              <w:rPr>
                <w:rFonts w:ascii="Arial Narrow" w:eastAsia="Times New Roman" w:hAnsi="Arial Narrow" w:cs="Calibri"/>
                <w:b/>
                <w:bCs/>
                <w:color w:val="000000"/>
                <w:sz w:val="16"/>
                <w:szCs w:val="16"/>
              </w:rPr>
              <w:t xml:space="preserve">   . COSUDE</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4.600.000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4.600.000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4.600.000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4.600.000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4.600.000 </w:t>
            </w:r>
          </w:p>
        </w:tc>
      </w:tr>
      <w:tr w:rsidR="00CD710B" w:rsidRPr="00CD710B" w:rsidTr="00335A6B">
        <w:trPr>
          <w:trHeight w:val="300"/>
          <w:jc w:val="center"/>
        </w:trPr>
        <w:tc>
          <w:tcPr>
            <w:tcW w:w="3964" w:type="dxa"/>
            <w:tcBorders>
              <w:top w:val="nil"/>
              <w:left w:val="single" w:sz="4" w:space="0" w:color="auto"/>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6"/>
                <w:szCs w:val="16"/>
              </w:rPr>
            </w:pPr>
            <w:r w:rsidRPr="00CD710B">
              <w:rPr>
                <w:rFonts w:ascii="Arial Narrow" w:eastAsia="Times New Roman" w:hAnsi="Arial Narrow" w:cs="Calibri"/>
                <w:b/>
                <w:bCs/>
                <w:color w:val="000000"/>
                <w:sz w:val="16"/>
                <w:szCs w:val="16"/>
              </w:rPr>
              <w:t xml:space="preserve">   . OTROS</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6"/>
                <w:szCs w:val="16"/>
              </w:rPr>
            </w:pPr>
            <w:r w:rsidRPr="00CD710B">
              <w:rPr>
                <w:rFonts w:ascii="Arial Narrow" w:eastAsia="Times New Roman" w:hAnsi="Arial Narrow" w:cs="Calibri"/>
                <w:color w:val="000000"/>
                <w:sz w:val="16"/>
                <w:szCs w:val="16"/>
              </w:rPr>
              <w:t xml:space="preserve">              -   </w:t>
            </w:r>
          </w:p>
        </w:tc>
      </w:tr>
      <w:tr w:rsidR="00CD710B" w:rsidRPr="00CD710B" w:rsidTr="00335A6B">
        <w:trPr>
          <w:trHeight w:val="300"/>
          <w:jc w:val="center"/>
        </w:trPr>
        <w:tc>
          <w:tcPr>
            <w:tcW w:w="3964" w:type="dxa"/>
            <w:tcBorders>
              <w:top w:val="nil"/>
              <w:left w:val="single" w:sz="4" w:space="0" w:color="auto"/>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lang w:val="es-BO"/>
              </w:rPr>
            </w:pPr>
            <w:r w:rsidRPr="00CD710B">
              <w:rPr>
                <w:rFonts w:ascii="Arial Narrow" w:eastAsia="Times New Roman" w:hAnsi="Arial Narrow" w:cs="Calibri"/>
                <w:b/>
                <w:bCs/>
                <w:color w:val="000000"/>
                <w:sz w:val="18"/>
                <w:szCs w:val="18"/>
                <w:lang w:val="es-BO"/>
              </w:rPr>
              <w:t>Universidades de Regimen Especial/Privadas</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lang w:val="es-BO"/>
              </w:rPr>
              <w:t xml:space="preserve">      </w:t>
            </w:r>
            <w:r w:rsidRPr="00CD710B">
              <w:rPr>
                <w:rFonts w:ascii="Arial Narrow" w:eastAsia="Times New Roman" w:hAnsi="Arial Narrow" w:cs="Calibri"/>
                <w:color w:val="000000"/>
                <w:sz w:val="18"/>
                <w:szCs w:val="18"/>
              </w:rPr>
              <w:t xml:space="preserve">517.843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517.843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517.843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517.843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517.843 </w:t>
            </w:r>
          </w:p>
        </w:tc>
      </w:tr>
      <w:tr w:rsidR="00CD710B" w:rsidRPr="00CD710B" w:rsidTr="00335A6B">
        <w:trPr>
          <w:trHeight w:val="300"/>
          <w:jc w:val="center"/>
        </w:trPr>
        <w:tc>
          <w:tcPr>
            <w:tcW w:w="3964" w:type="dxa"/>
            <w:tcBorders>
              <w:top w:val="nil"/>
              <w:left w:val="single" w:sz="4" w:space="0" w:color="auto"/>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Otras Organismos Internacionales</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w:t>
            </w:r>
          </w:p>
        </w:tc>
      </w:tr>
      <w:tr w:rsidR="00CD710B" w:rsidRPr="00CD710B" w:rsidTr="00335A6B">
        <w:trPr>
          <w:trHeight w:val="300"/>
          <w:jc w:val="center"/>
        </w:trPr>
        <w:tc>
          <w:tcPr>
            <w:tcW w:w="3964" w:type="dxa"/>
            <w:tcBorders>
              <w:top w:val="nil"/>
              <w:left w:val="single" w:sz="4" w:space="0" w:color="auto"/>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lang w:val="es-BO"/>
              </w:rPr>
              <w:t xml:space="preserve">Aportes de Unid de Investig.  </w:t>
            </w:r>
            <w:r w:rsidRPr="00CD710B">
              <w:rPr>
                <w:rFonts w:ascii="Arial Narrow" w:eastAsia="Times New Roman" w:hAnsi="Arial Narrow" w:cs="Calibri"/>
                <w:b/>
                <w:bCs/>
                <w:color w:val="000000"/>
                <w:sz w:val="18"/>
                <w:szCs w:val="18"/>
              </w:rPr>
              <w:t>Priv/Pub</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388.382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388.382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388.382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388.382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388.382 </w:t>
            </w:r>
          </w:p>
        </w:tc>
      </w:tr>
      <w:tr w:rsidR="00CD710B" w:rsidRPr="00CD710B" w:rsidTr="00335A6B">
        <w:trPr>
          <w:trHeight w:val="300"/>
          <w:jc w:val="center"/>
        </w:trPr>
        <w:tc>
          <w:tcPr>
            <w:tcW w:w="3964" w:type="dxa"/>
            <w:tcBorders>
              <w:top w:val="nil"/>
              <w:left w:val="single" w:sz="4" w:space="0" w:color="auto"/>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lang w:val="es-BO"/>
              </w:rPr>
            </w:pPr>
            <w:r w:rsidRPr="00CD710B">
              <w:rPr>
                <w:rFonts w:ascii="Arial Narrow" w:eastAsia="Times New Roman" w:hAnsi="Arial Narrow" w:cs="Calibri"/>
                <w:b/>
                <w:bCs/>
                <w:color w:val="000000"/>
                <w:sz w:val="18"/>
                <w:szCs w:val="18"/>
                <w:lang w:val="es-BO"/>
              </w:rPr>
              <w:t>Ingresos Propios (derechos de propiedad intelectual)</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lang w:val="es-BO"/>
              </w:rPr>
            </w:pPr>
            <w:r w:rsidRPr="00CD710B">
              <w:rPr>
                <w:rFonts w:ascii="Arial Narrow" w:eastAsia="Times New Roman" w:hAnsi="Arial Narrow" w:cs="Calibri"/>
                <w:color w:val="000000"/>
                <w:sz w:val="18"/>
                <w:szCs w:val="18"/>
                <w:lang w:val="es-BO"/>
              </w:rPr>
              <w:t>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lang w:val="es-BO"/>
              </w:rPr>
              <w:t xml:space="preserve">    </w:t>
            </w:r>
            <w:r w:rsidRPr="00CD710B">
              <w:rPr>
                <w:rFonts w:ascii="Arial Narrow" w:eastAsia="Times New Roman" w:hAnsi="Arial Narrow" w:cs="Calibri"/>
                <w:color w:val="000000"/>
                <w:sz w:val="18"/>
                <w:szCs w:val="18"/>
              </w:rPr>
              <w:t xml:space="preserve">1.468.427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1.656.386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1.680.444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1.683.524 </w:t>
            </w:r>
          </w:p>
        </w:tc>
      </w:tr>
      <w:tr w:rsidR="00CD710B" w:rsidRPr="00CD710B" w:rsidTr="00335A6B">
        <w:trPr>
          <w:trHeight w:val="300"/>
          <w:jc w:val="center"/>
        </w:trPr>
        <w:tc>
          <w:tcPr>
            <w:tcW w:w="3964" w:type="dxa"/>
            <w:tcBorders>
              <w:top w:val="nil"/>
              <w:left w:val="single" w:sz="4" w:space="0" w:color="auto"/>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jc w:val="center"/>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TOTAL</w:t>
            </w:r>
          </w:p>
        </w:tc>
        <w:tc>
          <w:tcPr>
            <w:tcW w:w="955" w:type="dxa"/>
            <w:tcBorders>
              <w:top w:val="nil"/>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 xml:space="preserve">  11.472.086 </w:t>
            </w:r>
          </w:p>
        </w:tc>
        <w:tc>
          <w:tcPr>
            <w:tcW w:w="955" w:type="dxa"/>
            <w:tcBorders>
              <w:top w:val="nil"/>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 xml:space="preserve">  12.940.512 </w:t>
            </w:r>
          </w:p>
        </w:tc>
        <w:tc>
          <w:tcPr>
            <w:tcW w:w="955" w:type="dxa"/>
            <w:tcBorders>
              <w:top w:val="nil"/>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 xml:space="preserve">  13.128.471 </w:t>
            </w:r>
          </w:p>
        </w:tc>
        <w:tc>
          <w:tcPr>
            <w:tcW w:w="955" w:type="dxa"/>
            <w:tcBorders>
              <w:top w:val="nil"/>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 xml:space="preserve">  13.152.530 </w:t>
            </w:r>
          </w:p>
        </w:tc>
        <w:tc>
          <w:tcPr>
            <w:tcW w:w="955" w:type="dxa"/>
            <w:tcBorders>
              <w:top w:val="nil"/>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 xml:space="preserve">  13.155.609 </w:t>
            </w:r>
          </w:p>
        </w:tc>
      </w:tr>
    </w:tbl>
    <w:p w:rsidR="00CD710B" w:rsidRPr="006658DB" w:rsidRDefault="00CD710B">
      <w:pPr>
        <w:rPr>
          <w:rFonts w:ascii="Arial" w:hAnsi="Arial" w:cs="Arial"/>
          <w:lang w:val="es-BO"/>
        </w:rPr>
      </w:pPr>
      <w:r w:rsidRPr="006658DB">
        <w:rPr>
          <w:rFonts w:ascii="Arial" w:hAnsi="Arial" w:cs="Arial"/>
          <w:lang w:val="es-BO"/>
        </w:rPr>
        <w:tab/>
        <w:t>Fuente: Elaboración propi</w:t>
      </w:r>
      <w:r w:rsidR="003960EA" w:rsidRPr="006658DB">
        <w:rPr>
          <w:rFonts w:ascii="Arial" w:hAnsi="Arial" w:cs="Arial"/>
          <w:lang w:val="es-BO"/>
        </w:rPr>
        <w:t>a en base a información de CEUB</w:t>
      </w:r>
    </w:p>
    <w:p w:rsidR="00535DFE" w:rsidRPr="006658DB" w:rsidRDefault="00535DFE">
      <w:pPr>
        <w:rPr>
          <w:rFonts w:ascii="Arial" w:hAnsi="Arial" w:cs="Arial"/>
          <w:lang w:val="es-BO"/>
        </w:rPr>
      </w:pPr>
    </w:p>
    <w:p w:rsidR="00CD710B" w:rsidRPr="006658DB" w:rsidRDefault="006658DB" w:rsidP="006F6142">
      <w:pPr>
        <w:pStyle w:val="Ttulo2"/>
        <w:rPr>
          <w:lang w:val="es-BO"/>
        </w:rPr>
      </w:pPr>
      <w:bookmarkStart w:id="28" w:name="_Toc471887298"/>
      <w:r>
        <w:rPr>
          <w:lang w:val="es-BO"/>
        </w:rPr>
        <w:t>11</w:t>
      </w:r>
      <w:r w:rsidR="00CD710B" w:rsidRPr="006658DB">
        <w:rPr>
          <w:lang w:val="es-BO"/>
        </w:rPr>
        <w:t>.2 Estimación de Gastos de</w:t>
      </w:r>
      <w:r>
        <w:rPr>
          <w:lang w:val="es-BO"/>
        </w:rPr>
        <w:t xml:space="preserve"> </w:t>
      </w:r>
      <w:r w:rsidR="00CD710B" w:rsidRPr="006658DB">
        <w:rPr>
          <w:lang w:val="es-BO"/>
        </w:rPr>
        <w:t>l</w:t>
      </w:r>
      <w:r>
        <w:rPr>
          <w:lang w:val="es-BO"/>
        </w:rPr>
        <w:t>a</w:t>
      </w:r>
      <w:r w:rsidR="00CD710B" w:rsidRPr="006658DB">
        <w:rPr>
          <w:lang w:val="es-BO"/>
        </w:rPr>
        <w:t xml:space="preserve"> </w:t>
      </w:r>
      <w:r w:rsidR="001A05A8">
        <w:rPr>
          <w:lang w:val="es-BO"/>
        </w:rPr>
        <w:t>ANUCT</w:t>
      </w:r>
      <w:r>
        <w:rPr>
          <w:lang w:val="es-BO"/>
        </w:rPr>
        <w:t>I</w:t>
      </w:r>
      <w:bookmarkEnd w:id="28"/>
    </w:p>
    <w:p w:rsidR="006F6142" w:rsidRDefault="006F6142" w:rsidP="006F6142">
      <w:pPr>
        <w:spacing w:after="0" w:line="240" w:lineRule="auto"/>
        <w:rPr>
          <w:rFonts w:ascii="Arial" w:hAnsi="Arial" w:cs="Arial"/>
          <w:sz w:val="24"/>
          <w:szCs w:val="24"/>
          <w:lang w:val="es-BO"/>
        </w:rPr>
      </w:pPr>
    </w:p>
    <w:p w:rsidR="000E2D47" w:rsidRDefault="000E2D47" w:rsidP="006F6142">
      <w:pPr>
        <w:spacing w:after="0" w:line="240" w:lineRule="auto"/>
        <w:rPr>
          <w:rFonts w:ascii="Arial" w:hAnsi="Arial" w:cs="Arial"/>
          <w:sz w:val="24"/>
          <w:szCs w:val="24"/>
          <w:lang w:val="es-BO"/>
        </w:rPr>
      </w:pPr>
      <w:r w:rsidRPr="006658DB">
        <w:rPr>
          <w:rFonts w:ascii="Arial" w:hAnsi="Arial" w:cs="Arial"/>
          <w:sz w:val="24"/>
          <w:szCs w:val="24"/>
          <w:lang w:val="es-BO"/>
        </w:rPr>
        <w:t xml:space="preserve">Sobre la base de los ingresos antes presentados, se proyectan el flujo de usos de los recursos de la agencia </w:t>
      </w:r>
      <w:r w:rsidR="006658DB">
        <w:rPr>
          <w:rFonts w:ascii="Arial" w:hAnsi="Arial" w:cs="Arial"/>
          <w:sz w:val="24"/>
          <w:szCs w:val="24"/>
          <w:lang w:val="es-BO"/>
        </w:rPr>
        <w:t>ANUCTI,</w:t>
      </w:r>
      <w:r w:rsidRPr="006658DB">
        <w:rPr>
          <w:rFonts w:ascii="Arial" w:hAnsi="Arial" w:cs="Arial"/>
          <w:sz w:val="24"/>
          <w:szCs w:val="24"/>
          <w:lang w:val="es-BO"/>
        </w:rPr>
        <w:t xml:space="preserve"> con las siguientes consideraciones:</w:t>
      </w:r>
    </w:p>
    <w:p w:rsidR="001A05A8" w:rsidRPr="006658DB" w:rsidRDefault="001A05A8" w:rsidP="006F6142">
      <w:pPr>
        <w:spacing w:after="0" w:line="240" w:lineRule="auto"/>
        <w:rPr>
          <w:rFonts w:ascii="Arial" w:hAnsi="Arial" w:cs="Arial"/>
          <w:sz w:val="24"/>
          <w:szCs w:val="24"/>
          <w:lang w:val="es-BO"/>
        </w:rPr>
      </w:pPr>
    </w:p>
    <w:p w:rsidR="001D752D" w:rsidRPr="001D752D" w:rsidRDefault="000E2D47" w:rsidP="001D752D">
      <w:pPr>
        <w:pStyle w:val="Prrafodelista"/>
        <w:numPr>
          <w:ilvl w:val="0"/>
          <w:numId w:val="40"/>
        </w:numPr>
        <w:jc w:val="both"/>
        <w:rPr>
          <w:rFonts w:ascii="Arial" w:hAnsi="Arial" w:cs="Arial"/>
          <w:sz w:val="24"/>
          <w:szCs w:val="24"/>
          <w:lang w:val="es-BO"/>
        </w:rPr>
      </w:pPr>
      <w:r w:rsidRPr="006658DB">
        <w:rPr>
          <w:rFonts w:ascii="Arial" w:hAnsi="Arial" w:cs="Arial"/>
          <w:sz w:val="24"/>
          <w:szCs w:val="24"/>
          <w:lang w:val="es-BO"/>
        </w:rPr>
        <w:t xml:space="preserve">Los costos administrativos (overhead) u operativos </w:t>
      </w:r>
      <w:r w:rsidR="00B83495" w:rsidRPr="006658DB">
        <w:rPr>
          <w:rFonts w:ascii="Arial" w:hAnsi="Arial" w:cs="Arial"/>
          <w:sz w:val="24"/>
          <w:szCs w:val="24"/>
          <w:lang w:val="es-BO"/>
        </w:rPr>
        <w:t xml:space="preserve">que para la agencia </w:t>
      </w:r>
      <w:r w:rsidR="006658DB">
        <w:rPr>
          <w:rFonts w:ascii="Arial" w:hAnsi="Arial" w:cs="Arial"/>
          <w:sz w:val="24"/>
          <w:szCs w:val="24"/>
          <w:lang w:val="es-BO"/>
        </w:rPr>
        <w:t>ANUCTI</w:t>
      </w:r>
      <w:r w:rsidR="00B83495" w:rsidRPr="006658DB">
        <w:rPr>
          <w:rFonts w:ascii="Arial" w:hAnsi="Arial" w:cs="Arial"/>
          <w:sz w:val="24"/>
          <w:szCs w:val="24"/>
          <w:lang w:val="es-BO"/>
        </w:rPr>
        <w:t xml:space="preserve"> no debe exceder el 8% del presupuesto anual, para la proyección de los costos administrativos se considera este porcentaje.</w:t>
      </w:r>
    </w:p>
    <w:p w:rsidR="001D752D" w:rsidRPr="001D752D" w:rsidRDefault="000E2D47" w:rsidP="001D752D">
      <w:pPr>
        <w:pStyle w:val="Prrafodelista"/>
        <w:numPr>
          <w:ilvl w:val="0"/>
          <w:numId w:val="40"/>
        </w:numPr>
        <w:jc w:val="both"/>
        <w:rPr>
          <w:rFonts w:ascii="Arial" w:hAnsi="Arial" w:cs="Arial"/>
          <w:sz w:val="24"/>
          <w:szCs w:val="24"/>
          <w:lang w:val="es-BO"/>
        </w:rPr>
      </w:pPr>
      <w:r w:rsidRPr="006658DB">
        <w:rPr>
          <w:rFonts w:ascii="Arial" w:hAnsi="Arial" w:cs="Arial"/>
          <w:sz w:val="24"/>
          <w:szCs w:val="24"/>
          <w:lang w:val="es-BO"/>
        </w:rPr>
        <w:t xml:space="preserve"> </w:t>
      </w:r>
      <w:r w:rsidR="00B83495" w:rsidRPr="006658DB">
        <w:rPr>
          <w:rFonts w:ascii="Arial" w:hAnsi="Arial" w:cs="Arial"/>
          <w:sz w:val="24"/>
          <w:szCs w:val="24"/>
          <w:lang w:val="es-BO"/>
        </w:rPr>
        <w:t>Las actividades de formación con un techo no mayor al 20% del presupuesto total.</w:t>
      </w:r>
    </w:p>
    <w:p w:rsidR="00B83495" w:rsidRPr="006658DB" w:rsidRDefault="00B83495" w:rsidP="00B83495">
      <w:pPr>
        <w:pStyle w:val="Prrafodelista"/>
        <w:numPr>
          <w:ilvl w:val="0"/>
          <w:numId w:val="40"/>
        </w:numPr>
        <w:jc w:val="both"/>
        <w:rPr>
          <w:rFonts w:ascii="Arial" w:hAnsi="Arial" w:cs="Arial"/>
          <w:sz w:val="24"/>
          <w:szCs w:val="24"/>
          <w:lang w:val="es-BO"/>
        </w:rPr>
      </w:pPr>
      <w:r w:rsidRPr="006658DB">
        <w:rPr>
          <w:rFonts w:ascii="Arial" w:hAnsi="Arial" w:cs="Arial"/>
          <w:sz w:val="24"/>
          <w:szCs w:val="24"/>
          <w:lang w:val="es-BO"/>
        </w:rPr>
        <w:t>Actividades transversales como publicación de artículos, textos, libros; que no debe exceder del 8% anual.</w:t>
      </w:r>
    </w:p>
    <w:p w:rsidR="00B83495" w:rsidRPr="006658DB" w:rsidRDefault="00B83495" w:rsidP="00B83495">
      <w:pPr>
        <w:pStyle w:val="Prrafodelista"/>
        <w:numPr>
          <w:ilvl w:val="0"/>
          <w:numId w:val="40"/>
        </w:numPr>
        <w:jc w:val="both"/>
        <w:rPr>
          <w:rFonts w:ascii="Arial" w:hAnsi="Arial" w:cs="Arial"/>
          <w:sz w:val="24"/>
          <w:szCs w:val="24"/>
          <w:lang w:val="es-BO"/>
        </w:rPr>
      </w:pPr>
      <w:r w:rsidRPr="006658DB">
        <w:rPr>
          <w:rFonts w:ascii="Arial" w:hAnsi="Arial" w:cs="Arial"/>
          <w:sz w:val="24"/>
          <w:szCs w:val="24"/>
          <w:lang w:val="es-BO"/>
        </w:rPr>
        <w:t>Programas de investigación, desarrollo e innovación; este rubro tendrá un 64% del presupuesto anual.</w:t>
      </w:r>
    </w:p>
    <w:p w:rsidR="00B83495" w:rsidRPr="006658DB" w:rsidRDefault="00B83495" w:rsidP="00B83495">
      <w:pPr>
        <w:pStyle w:val="Prrafodelista"/>
        <w:jc w:val="both"/>
        <w:rPr>
          <w:rFonts w:ascii="Arial" w:hAnsi="Arial" w:cs="Arial"/>
          <w:sz w:val="24"/>
          <w:szCs w:val="24"/>
          <w:lang w:val="es-BO"/>
        </w:rPr>
      </w:pPr>
    </w:p>
    <w:p w:rsidR="00B83495" w:rsidRPr="006658DB" w:rsidRDefault="006658DB" w:rsidP="006658DB">
      <w:pPr>
        <w:jc w:val="both"/>
        <w:rPr>
          <w:rFonts w:ascii="Arial" w:hAnsi="Arial" w:cs="Arial"/>
          <w:sz w:val="24"/>
          <w:szCs w:val="24"/>
          <w:lang w:val="es-BO"/>
        </w:rPr>
      </w:pPr>
      <w:r>
        <w:rPr>
          <w:rFonts w:ascii="Arial" w:hAnsi="Arial" w:cs="Arial"/>
          <w:sz w:val="24"/>
          <w:szCs w:val="24"/>
          <w:lang w:val="es-BO"/>
        </w:rPr>
        <w:t>En el Cuadro 4,</w:t>
      </w:r>
      <w:r w:rsidR="00B83495" w:rsidRPr="006658DB">
        <w:rPr>
          <w:rFonts w:ascii="Arial" w:hAnsi="Arial" w:cs="Arial"/>
          <w:sz w:val="24"/>
          <w:szCs w:val="24"/>
          <w:lang w:val="es-BO"/>
        </w:rPr>
        <w:t xml:space="preserve"> se presenta la estimación de costos para el periodo 2017-2021, los mismos que constituyen un referente para la planificación y presupuestación financiera. Este flujo de gastos corresponde a un sistema de flujo de caja equilibrado, es decir, se calculó estableciendo presupuestos equilibrados de ingresos y egresos.</w:t>
      </w:r>
    </w:p>
    <w:p w:rsidR="000E2D47" w:rsidRDefault="000E2D47">
      <w:pPr>
        <w:rPr>
          <w:rFonts w:ascii="Times New Roman" w:hAnsi="Times New Roman" w:cs="Times New Roman"/>
          <w:sz w:val="24"/>
          <w:szCs w:val="24"/>
          <w:lang w:val="es-BO"/>
        </w:rPr>
      </w:pPr>
    </w:p>
    <w:p w:rsidR="001A05A8" w:rsidRDefault="001A05A8">
      <w:pPr>
        <w:rPr>
          <w:rFonts w:ascii="Times New Roman" w:hAnsi="Times New Roman" w:cs="Times New Roman"/>
          <w:sz w:val="24"/>
          <w:szCs w:val="24"/>
          <w:lang w:val="es-BO"/>
        </w:rPr>
      </w:pPr>
    </w:p>
    <w:p w:rsidR="001A05A8" w:rsidRDefault="001A05A8">
      <w:pPr>
        <w:rPr>
          <w:rFonts w:ascii="Times New Roman" w:hAnsi="Times New Roman" w:cs="Times New Roman"/>
          <w:sz w:val="24"/>
          <w:szCs w:val="24"/>
          <w:lang w:val="es-BO"/>
        </w:rPr>
      </w:pPr>
    </w:p>
    <w:p w:rsidR="00B83495" w:rsidRDefault="00B83495">
      <w:pPr>
        <w:rPr>
          <w:rFonts w:ascii="Times New Roman" w:hAnsi="Times New Roman" w:cs="Times New Roman"/>
          <w:sz w:val="24"/>
          <w:szCs w:val="24"/>
          <w:lang w:val="es-BO"/>
        </w:rPr>
      </w:pPr>
    </w:p>
    <w:p w:rsidR="00CD710B" w:rsidRPr="006658DB" w:rsidRDefault="00CD710B" w:rsidP="00CD710B">
      <w:pPr>
        <w:spacing w:after="0" w:line="240" w:lineRule="auto"/>
        <w:jc w:val="center"/>
        <w:rPr>
          <w:rFonts w:ascii="Arial" w:hAnsi="Arial" w:cs="Arial"/>
          <w:b/>
          <w:sz w:val="24"/>
          <w:szCs w:val="24"/>
          <w:lang w:val="es-BO"/>
        </w:rPr>
      </w:pPr>
      <w:r w:rsidRPr="006658DB">
        <w:rPr>
          <w:rFonts w:ascii="Arial" w:hAnsi="Arial" w:cs="Arial"/>
          <w:b/>
          <w:sz w:val="24"/>
          <w:szCs w:val="24"/>
          <w:lang w:val="es-BO"/>
        </w:rPr>
        <w:t xml:space="preserve">Cuadro </w:t>
      </w:r>
      <w:r w:rsidR="006658DB" w:rsidRPr="006658DB">
        <w:rPr>
          <w:rFonts w:ascii="Arial" w:hAnsi="Arial" w:cs="Arial"/>
          <w:b/>
          <w:sz w:val="24"/>
          <w:szCs w:val="24"/>
          <w:lang w:val="es-BO"/>
        </w:rPr>
        <w:t>4</w:t>
      </w:r>
    </w:p>
    <w:p w:rsidR="00CD710B" w:rsidRPr="006658DB" w:rsidRDefault="00CD710B" w:rsidP="00CD710B">
      <w:pPr>
        <w:spacing w:after="0" w:line="240" w:lineRule="auto"/>
        <w:jc w:val="center"/>
        <w:rPr>
          <w:rFonts w:ascii="Arial" w:hAnsi="Arial" w:cs="Arial"/>
          <w:b/>
          <w:sz w:val="24"/>
          <w:szCs w:val="24"/>
          <w:lang w:val="es-BO"/>
        </w:rPr>
      </w:pPr>
      <w:r w:rsidRPr="006658DB">
        <w:rPr>
          <w:rFonts w:ascii="Arial" w:hAnsi="Arial" w:cs="Arial"/>
          <w:b/>
          <w:sz w:val="24"/>
          <w:szCs w:val="24"/>
          <w:lang w:val="es-BO"/>
        </w:rPr>
        <w:t>Estimación de Gastos de</w:t>
      </w:r>
      <w:r w:rsidR="006658DB" w:rsidRPr="006658DB">
        <w:rPr>
          <w:rFonts w:ascii="Arial" w:hAnsi="Arial" w:cs="Arial"/>
          <w:b/>
          <w:sz w:val="24"/>
          <w:szCs w:val="24"/>
          <w:lang w:val="es-BO"/>
        </w:rPr>
        <w:t xml:space="preserve"> </w:t>
      </w:r>
      <w:r w:rsidRPr="006658DB">
        <w:rPr>
          <w:rFonts w:ascii="Arial" w:hAnsi="Arial" w:cs="Arial"/>
          <w:b/>
          <w:sz w:val="24"/>
          <w:szCs w:val="24"/>
          <w:lang w:val="es-BO"/>
        </w:rPr>
        <w:t>l</w:t>
      </w:r>
      <w:r w:rsidR="006658DB" w:rsidRPr="006658DB">
        <w:rPr>
          <w:rFonts w:ascii="Arial" w:hAnsi="Arial" w:cs="Arial"/>
          <w:b/>
          <w:sz w:val="24"/>
          <w:szCs w:val="24"/>
          <w:lang w:val="es-BO"/>
        </w:rPr>
        <w:t>a</w:t>
      </w:r>
      <w:r w:rsidRPr="006658DB">
        <w:rPr>
          <w:rFonts w:ascii="Arial" w:hAnsi="Arial" w:cs="Arial"/>
          <w:b/>
          <w:sz w:val="24"/>
          <w:szCs w:val="24"/>
          <w:lang w:val="es-BO"/>
        </w:rPr>
        <w:t xml:space="preserve"> </w:t>
      </w:r>
      <w:r w:rsidR="006658DB" w:rsidRPr="006658DB">
        <w:rPr>
          <w:rFonts w:ascii="Arial" w:hAnsi="Arial" w:cs="Arial"/>
          <w:b/>
          <w:sz w:val="24"/>
          <w:szCs w:val="24"/>
          <w:lang w:val="es-BO"/>
        </w:rPr>
        <w:t>ANUCTI</w:t>
      </w:r>
    </w:p>
    <w:p w:rsidR="00CD710B" w:rsidRPr="006658DB" w:rsidRDefault="00CD710B" w:rsidP="00CD710B">
      <w:pPr>
        <w:spacing w:after="0" w:line="240" w:lineRule="auto"/>
        <w:jc w:val="center"/>
        <w:rPr>
          <w:rFonts w:ascii="Arial" w:hAnsi="Arial" w:cs="Arial"/>
          <w:b/>
          <w:sz w:val="24"/>
          <w:szCs w:val="24"/>
          <w:lang w:val="es-BO"/>
        </w:rPr>
      </w:pPr>
      <w:r w:rsidRPr="006658DB">
        <w:rPr>
          <w:rFonts w:ascii="Arial" w:hAnsi="Arial" w:cs="Arial"/>
          <w:b/>
          <w:sz w:val="24"/>
          <w:szCs w:val="24"/>
          <w:lang w:val="es-BO"/>
        </w:rPr>
        <w:t>Periodo: 2017-2021</w:t>
      </w:r>
    </w:p>
    <w:p w:rsidR="00CD710B" w:rsidRPr="006658DB" w:rsidRDefault="00CD710B" w:rsidP="00CD710B">
      <w:pPr>
        <w:spacing w:after="0" w:line="240" w:lineRule="auto"/>
        <w:jc w:val="center"/>
        <w:rPr>
          <w:rFonts w:ascii="Arial" w:hAnsi="Arial" w:cs="Arial"/>
          <w:b/>
          <w:sz w:val="24"/>
          <w:szCs w:val="24"/>
          <w:lang w:val="es-BO"/>
        </w:rPr>
      </w:pPr>
      <w:r w:rsidRPr="006658DB">
        <w:rPr>
          <w:rFonts w:ascii="Arial" w:hAnsi="Arial" w:cs="Arial"/>
          <w:b/>
          <w:sz w:val="24"/>
          <w:szCs w:val="24"/>
          <w:lang w:val="es-BO"/>
        </w:rPr>
        <w:t>(En Bs.)</w:t>
      </w:r>
    </w:p>
    <w:tbl>
      <w:tblPr>
        <w:tblW w:w="9023" w:type="dxa"/>
        <w:tblLook w:val="04A0" w:firstRow="1" w:lastRow="0" w:firstColumn="1" w:lastColumn="0" w:noHBand="0" w:noVBand="1"/>
      </w:tblPr>
      <w:tblGrid>
        <w:gridCol w:w="4248"/>
        <w:gridCol w:w="955"/>
        <w:gridCol w:w="955"/>
        <w:gridCol w:w="955"/>
        <w:gridCol w:w="955"/>
        <w:gridCol w:w="955"/>
      </w:tblGrid>
      <w:tr w:rsidR="00CD710B" w:rsidRPr="00CD710B" w:rsidTr="00CD710B">
        <w:trPr>
          <w:trHeight w:val="300"/>
        </w:trPr>
        <w:tc>
          <w:tcPr>
            <w:tcW w:w="424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jc w:val="center"/>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 xml:space="preserve">FUENTE </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jc w:val="center"/>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2017</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jc w:val="center"/>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2018</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jc w:val="center"/>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2019</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jc w:val="center"/>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2019</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jc w:val="center"/>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2019</w:t>
            </w:r>
          </w:p>
        </w:tc>
      </w:tr>
      <w:tr w:rsidR="00CD710B" w:rsidRPr="00CD710B" w:rsidTr="00CD710B">
        <w:trPr>
          <w:trHeight w:val="300"/>
        </w:trPr>
        <w:tc>
          <w:tcPr>
            <w:tcW w:w="4248" w:type="dxa"/>
            <w:tcBorders>
              <w:top w:val="nil"/>
              <w:left w:val="single" w:sz="4" w:space="0" w:color="auto"/>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lang w:val="es-BO"/>
              </w:rPr>
            </w:pPr>
            <w:r w:rsidRPr="00CD710B">
              <w:rPr>
                <w:rFonts w:ascii="Arial Narrow" w:eastAsia="Times New Roman" w:hAnsi="Arial Narrow" w:cs="Calibri"/>
                <w:b/>
                <w:bCs/>
                <w:color w:val="000000"/>
                <w:sz w:val="18"/>
                <w:szCs w:val="18"/>
                <w:lang w:val="es-BO"/>
              </w:rPr>
              <w:t>Gastos de Administración (max de 8%)</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lang w:val="es-BO"/>
              </w:rPr>
              <w:t xml:space="preserve">      </w:t>
            </w:r>
            <w:r w:rsidRPr="00CD710B">
              <w:rPr>
                <w:rFonts w:ascii="Arial Narrow" w:eastAsia="Times New Roman" w:hAnsi="Arial Narrow" w:cs="Calibri"/>
                <w:color w:val="000000"/>
                <w:sz w:val="18"/>
                <w:szCs w:val="18"/>
              </w:rPr>
              <w:t xml:space="preserve">917.767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1.035.241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1.050.278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1.052.202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1.052.449 </w:t>
            </w:r>
          </w:p>
        </w:tc>
      </w:tr>
      <w:tr w:rsidR="00CD710B" w:rsidRPr="00CD710B" w:rsidTr="00CD710B">
        <w:trPr>
          <w:trHeight w:val="300"/>
        </w:trPr>
        <w:tc>
          <w:tcPr>
            <w:tcW w:w="4248" w:type="dxa"/>
            <w:tcBorders>
              <w:top w:val="nil"/>
              <w:left w:val="single" w:sz="4" w:space="0" w:color="auto"/>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lang w:val="es-BO"/>
              </w:rPr>
            </w:pPr>
            <w:r w:rsidRPr="00CD710B">
              <w:rPr>
                <w:rFonts w:ascii="Arial Narrow" w:eastAsia="Times New Roman" w:hAnsi="Arial Narrow" w:cs="Calibri"/>
                <w:b/>
                <w:bCs/>
                <w:color w:val="000000"/>
                <w:sz w:val="18"/>
                <w:szCs w:val="18"/>
                <w:lang w:val="es-BO"/>
              </w:rPr>
              <w:t>Programas de Investigación, Desarrollo e Innovación</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lang w:val="es-BO"/>
              </w:rPr>
              <w:t xml:space="preserve">    </w:t>
            </w:r>
            <w:r w:rsidRPr="00CD710B">
              <w:rPr>
                <w:rFonts w:ascii="Arial Narrow" w:eastAsia="Times New Roman" w:hAnsi="Arial Narrow" w:cs="Calibri"/>
                <w:color w:val="000000"/>
                <w:sz w:val="18"/>
                <w:szCs w:val="18"/>
              </w:rPr>
              <w:t xml:space="preserve">7.342.135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8.281.928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8.402.222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8.417.619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8.419.590 </w:t>
            </w:r>
          </w:p>
        </w:tc>
      </w:tr>
      <w:tr w:rsidR="00CD710B" w:rsidRPr="00CD710B" w:rsidTr="00CD710B">
        <w:trPr>
          <w:trHeight w:val="300"/>
        </w:trPr>
        <w:tc>
          <w:tcPr>
            <w:tcW w:w="4248" w:type="dxa"/>
            <w:tcBorders>
              <w:top w:val="nil"/>
              <w:left w:val="single" w:sz="4" w:space="0" w:color="auto"/>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Formación de Talento (20%)</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2.294.417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2.588.102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2.625.694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2.630.506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2.631.122 </w:t>
            </w:r>
          </w:p>
        </w:tc>
      </w:tr>
      <w:tr w:rsidR="00CD710B" w:rsidRPr="00CD710B" w:rsidTr="00CD710B">
        <w:trPr>
          <w:trHeight w:val="300"/>
        </w:trPr>
        <w:tc>
          <w:tcPr>
            <w:tcW w:w="4248" w:type="dxa"/>
            <w:tcBorders>
              <w:top w:val="nil"/>
              <w:left w:val="single" w:sz="4" w:space="0" w:color="auto"/>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Actividades Transversales (8%)</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917.767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1.035.241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1.050.278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1.052.202 </w:t>
            </w:r>
          </w:p>
        </w:tc>
        <w:tc>
          <w:tcPr>
            <w:tcW w:w="955" w:type="dxa"/>
            <w:tcBorders>
              <w:top w:val="nil"/>
              <w:left w:val="nil"/>
              <w:bottom w:val="single" w:sz="4" w:space="0" w:color="auto"/>
              <w:right w:val="single" w:sz="4" w:space="0" w:color="auto"/>
            </w:tcBorders>
            <w:shd w:val="clear" w:color="000000" w:fill="EDEDED"/>
            <w:noWrap/>
            <w:vAlign w:val="bottom"/>
            <w:hideMark/>
          </w:tcPr>
          <w:p w:rsidR="00CD710B" w:rsidRPr="00CD710B" w:rsidRDefault="00CD710B" w:rsidP="00CD710B">
            <w:pPr>
              <w:spacing w:after="0" w:line="240" w:lineRule="auto"/>
              <w:rPr>
                <w:rFonts w:ascii="Arial Narrow" w:eastAsia="Times New Roman" w:hAnsi="Arial Narrow" w:cs="Calibri"/>
                <w:color w:val="000000"/>
                <w:sz w:val="18"/>
                <w:szCs w:val="18"/>
              </w:rPr>
            </w:pPr>
            <w:r w:rsidRPr="00CD710B">
              <w:rPr>
                <w:rFonts w:ascii="Arial Narrow" w:eastAsia="Times New Roman" w:hAnsi="Arial Narrow" w:cs="Calibri"/>
                <w:color w:val="000000"/>
                <w:sz w:val="18"/>
                <w:szCs w:val="18"/>
              </w:rPr>
              <w:t xml:space="preserve">    1.052.449 </w:t>
            </w:r>
          </w:p>
        </w:tc>
      </w:tr>
      <w:tr w:rsidR="00CD710B" w:rsidRPr="00CD710B" w:rsidTr="00CD710B">
        <w:trPr>
          <w:trHeight w:val="300"/>
        </w:trPr>
        <w:tc>
          <w:tcPr>
            <w:tcW w:w="4248" w:type="dxa"/>
            <w:tcBorders>
              <w:top w:val="nil"/>
              <w:left w:val="single" w:sz="4" w:space="0" w:color="auto"/>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jc w:val="center"/>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TOTAL</w:t>
            </w:r>
          </w:p>
        </w:tc>
        <w:tc>
          <w:tcPr>
            <w:tcW w:w="955" w:type="dxa"/>
            <w:tcBorders>
              <w:top w:val="nil"/>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 xml:space="preserve">  11.472.086 </w:t>
            </w:r>
          </w:p>
        </w:tc>
        <w:tc>
          <w:tcPr>
            <w:tcW w:w="955" w:type="dxa"/>
            <w:tcBorders>
              <w:top w:val="nil"/>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 xml:space="preserve">  12.940.512 </w:t>
            </w:r>
          </w:p>
        </w:tc>
        <w:tc>
          <w:tcPr>
            <w:tcW w:w="955" w:type="dxa"/>
            <w:tcBorders>
              <w:top w:val="nil"/>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 xml:space="preserve">  13.128.471 </w:t>
            </w:r>
          </w:p>
        </w:tc>
        <w:tc>
          <w:tcPr>
            <w:tcW w:w="955" w:type="dxa"/>
            <w:tcBorders>
              <w:top w:val="nil"/>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 xml:space="preserve">  13.152.530 </w:t>
            </w:r>
          </w:p>
        </w:tc>
        <w:tc>
          <w:tcPr>
            <w:tcW w:w="955" w:type="dxa"/>
            <w:tcBorders>
              <w:top w:val="nil"/>
              <w:left w:val="nil"/>
              <w:bottom w:val="single" w:sz="4" w:space="0" w:color="auto"/>
              <w:right w:val="single" w:sz="4" w:space="0" w:color="auto"/>
            </w:tcBorders>
            <w:shd w:val="clear" w:color="000000" w:fill="BFBFBF"/>
            <w:noWrap/>
            <w:vAlign w:val="bottom"/>
            <w:hideMark/>
          </w:tcPr>
          <w:p w:rsidR="00CD710B" w:rsidRPr="00CD710B" w:rsidRDefault="00CD710B" w:rsidP="00CD710B">
            <w:pPr>
              <w:spacing w:after="0" w:line="240" w:lineRule="auto"/>
              <w:rPr>
                <w:rFonts w:ascii="Arial Narrow" w:eastAsia="Times New Roman" w:hAnsi="Arial Narrow" w:cs="Calibri"/>
                <w:b/>
                <w:bCs/>
                <w:color w:val="000000"/>
                <w:sz w:val="18"/>
                <w:szCs w:val="18"/>
              </w:rPr>
            </w:pPr>
            <w:r w:rsidRPr="00CD710B">
              <w:rPr>
                <w:rFonts w:ascii="Arial Narrow" w:eastAsia="Times New Roman" w:hAnsi="Arial Narrow" w:cs="Calibri"/>
                <w:b/>
                <w:bCs/>
                <w:color w:val="000000"/>
                <w:sz w:val="18"/>
                <w:szCs w:val="18"/>
              </w:rPr>
              <w:t xml:space="preserve">  13.155.609 </w:t>
            </w:r>
          </w:p>
        </w:tc>
      </w:tr>
    </w:tbl>
    <w:p w:rsidR="00CD710B" w:rsidRPr="006658DB" w:rsidRDefault="00CD710B" w:rsidP="00CD710B">
      <w:pPr>
        <w:rPr>
          <w:rFonts w:ascii="Arial" w:hAnsi="Arial" w:cs="Arial"/>
          <w:lang w:val="es-BO"/>
        </w:rPr>
      </w:pPr>
      <w:r w:rsidRPr="006658DB">
        <w:rPr>
          <w:rFonts w:ascii="Arial" w:hAnsi="Arial" w:cs="Arial"/>
          <w:lang w:val="es-BO"/>
        </w:rPr>
        <w:t>Fuente: Elaboración propia en base a información de CEUB</w:t>
      </w:r>
    </w:p>
    <w:p w:rsidR="00121840" w:rsidRDefault="00121840">
      <w:pPr>
        <w:rPr>
          <w:rFonts w:ascii="Times New Roman" w:hAnsi="Times New Roman" w:cs="Times New Roman"/>
          <w:b/>
          <w:sz w:val="24"/>
          <w:szCs w:val="24"/>
          <w:lang w:val="es-BO"/>
        </w:rPr>
      </w:pPr>
    </w:p>
    <w:p w:rsidR="00121840" w:rsidRDefault="00121840">
      <w:pPr>
        <w:rPr>
          <w:rFonts w:ascii="Times New Roman" w:hAnsi="Times New Roman" w:cs="Times New Roman"/>
          <w:b/>
          <w:sz w:val="24"/>
          <w:szCs w:val="24"/>
          <w:lang w:val="es-BO"/>
        </w:rPr>
      </w:pPr>
    </w:p>
    <w:p w:rsidR="00CD710B" w:rsidRDefault="00CD710B">
      <w:pPr>
        <w:rPr>
          <w:rFonts w:ascii="Times New Roman" w:hAnsi="Times New Roman" w:cs="Times New Roman"/>
          <w:b/>
          <w:sz w:val="24"/>
          <w:szCs w:val="24"/>
          <w:lang w:val="es-BO"/>
        </w:rPr>
      </w:pPr>
    </w:p>
    <w:p w:rsidR="00121840" w:rsidRDefault="00121840">
      <w:pPr>
        <w:rPr>
          <w:rFonts w:ascii="Times New Roman" w:hAnsi="Times New Roman" w:cs="Times New Roman"/>
          <w:b/>
          <w:sz w:val="24"/>
          <w:szCs w:val="24"/>
          <w:lang w:val="es-BO"/>
        </w:rPr>
      </w:pPr>
    </w:p>
    <w:p w:rsidR="00B83495" w:rsidRDefault="00B83495">
      <w:pPr>
        <w:rPr>
          <w:rFonts w:ascii="Times New Roman" w:hAnsi="Times New Roman" w:cs="Times New Roman"/>
          <w:b/>
          <w:sz w:val="24"/>
          <w:szCs w:val="24"/>
          <w:lang w:val="es-BO"/>
        </w:rPr>
      </w:pPr>
      <w:r>
        <w:rPr>
          <w:rFonts w:ascii="Times New Roman" w:hAnsi="Times New Roman" w:cs="Times New Roman"/>
          <w:b/>
          <w:sz w:val="24"/>
          <w:szCs w:val="24"/>
          <w:lang w:val="es-BO"/>
        </w:rPr>
        <w:br w:type="page"/>
      </w:r>
    </w:p>
    <w:p w:rsidR="00182732" w:rsidRDefault="00182732">
      <w:pPr>
        <w:rPr>
          <w:rFonts w:ascii="Times New Roman" w:hAnsi="Times New Roman" w:cs="Times New Roman"/>
          <w:b/>
          <w:sz w:val="24"/>
          <w:szCs w:val="24"/>
          <w:lang w:val="es-BO"/>
        </w:rPr>
      </w:pPr>
    </w:p>
    <w:p w:rsidR="00182732" w:rsidRDefault="00182732">
      <w:pPr>
        <w:rPr>
          <w:rFonts w:ascii="Times New Roman" w:hAnsi="Times New Roman" w:cs="Times New Roman"/>
          <w:b/>
          <w:sz w:val="24"/>
          <w:szCs w:val="24"/>
          <w:lang w:val="es-BO"/>
        </w:rPr>
      </w:pPr>
    </w:p>
    <w:p w:rsidR="00182732" w:rsidRDefault="00182732" w:rsidP="00FD7D0C">
      <w:pPr>
        <w:jc w:val="center"/>
        <w:rPr>
          <w:lang w:val="es-BO"/>
        </w:rPr>
      </w:pPr>
    </w:p>
    <w:p w:rsidR="00FD7D0C" w:rsidRDefault="00FD7D0C" w:rsidP="00FD7D0C">
      <w:pPr>
        <w:jc w:val="center"/>
        <w:rPr>
          <w:lang w:val="es-BO"/>
        </w:rPr>
      </w:pPr>
    </w:p>
    <w:p w:rsidR="00FD7D0C" w:rsidRPr="00FD7D0C" w:rsidRDefault="00FD7D0C" w:rsidP="00FD7D0C">
      <w:pPr>
        <w:jc w:val="center"/>
        <w:rPr>
          <w:lang w:val="es-BO"/>
        </w:rPr>
      </w:pPr>
    </w:p>
    <w:p w:rsidR="00182732" w:rsidRDefault="00182732" w:rsidP="00182732">
      <w:pPr>
        <w:rPr>
          <w:b/>
          <w:lang w:val="es-BO"/>
        </w:rPr>
      </w:pPr>
    </w:p>
    <w:p w:rsidR="00FD7D0C" w:rsidRDefault="00FD7D0C" w:rsidP="00182732">
      <w:pPr>
        <w:rPr>
          <w:b/>
          <w:lang w:val="es-BO"/>
        </w:rPr>
      </w:pPr>
    </w:p>
    <w:p w:rsidR="00FD7D0C" w:rsidRDefault="00FD7D0C" w:rsidP="00182732">
      <w:pPr>
        <w:rPr>
          <w:b/>
          <w:lang w:val="es-BO"/>
        </w:rPr>
      </w:pPr>
    </w:p>
    <w:p w:rsidR="00FD7D0C" w:rsidRDefault="00FD7D0C" w:rsidP="00182732">
      <w:pPr>
        <w:rPr>
          <w:b/>
          <w:lang w:val="es-BO"/>
        </w:rPr>
      </w:pPr>
    </w:p>
    <w:p w:rsidR="00FD7D0C" w:rsidRDefault="00FD7D0C" w:rsidP="00182732">
      <w:pPr>
        <w:rPr>
          <w:b/>
          <w:lang w:val="es-BO"/>
        </w:rPr>
      </w:pPr>
    </w:p>
    <w:p w:rsidR="00FD7D0C" w:rsidRDefault="00FD7D0C" w:rsidP="00182732">
      <w:pPr>
        <w:rPr>
          <w:b/>
          <w:lang w:val="es-BO"/>
        </w:rPr>
      </w:pPr>
    </w:p>
    <w:p w:rsidR="00FD7D0C" w:rsidRDefault="00FD7D0C" w:rsidP="00182732">
      <w:pPr>
        <w:rPr>
          <w:b/>
          <w:lang w:val="es-BO"/>
        </w:rPr>
      </w:pPr>
    </w:p>
    <w:p w:rsidR="00FD7D0C" w:rsidRPr="00FD7D0C" w:rsidRDefault="00FD7D0C" w:rsidP="00FD7D0C">
      <w:pPr>
        <w:jc w:val="center"/>
        <w:rPr>
          <w:rFonts w:ascii="Times New Roman" w:hAnsi="Times New Roman" w:cs="Times New Roman"/>
          <w:b/>
          <w:sz w:val="60"/>
          <w:szCs w:val="60"/>
          <w:lang w:val="es-BO"/>
        </w:rPr>
      </w:pPr>
      <w:r w:rsidRPr="00FD7D0C">
        <w:rPr>
          <w:rFonts w:ascii="Times New Roman" w:hAnsi="Times New Roman" w:cs="Times New Roman"/>
          <w:b/>
          <w:sz w:val="60"/>
          <w:szCs w:val="60"/>
          <w:lang w:val="es-BO"/>
        </w:rPr>
        <w:t>ANEXOS</w:t>
      </w:r>
    </w:p>
    <w:p w:rsidR="003863ED" w:rsidRDefault="00FD7D0C" w:rsidP="003863ED">
      <w:pPr>
        <w:spacing w:after="0" w:line="240" w:lineRule="auto"/>
        <w:jc w:val="both"/>
        <w:rPr>
          <w:rFonts w:ascii="Times New Roman" w:hAnsi="Times New Roman" w:cs="Times New Roman"/>
          <w:b/>
          <w:sz w:val="24"/>
          <w:szCs w:val="24"/>
          <w:lang w:val="es-BO"/>
        </w:rPr>
      </w:pPr>
      <w:r>
        <w:rPr>
          <w:b/>
          <w:lang w:val="es-BO"/>
        </w:rPr>
        <w:br w:type="page"/>
      </w:r>
    </w:p>
    <w:p w:rsidR="00BE620D" w:rsidRDefault="00BE620D" w:rsidP="00BE620D">
      <w:pPr>
        <w:jc w:val="center"/>
        <w:rPr>
          <w:rFonts w:ascii="Arial" w:hAnsi="Arial" w:cs="Arial"/>
          <w:b/>
          <w:sz w:val="24"/>
          <w:szCs w:val="24"/>
          <w:lang w:val="es-BO"/>
        </w:rPr>
      </w:pPr>
      <w:r>
        <w:rPr>
          <w:rFonts w:ascii="Arial" w:hAnsi="Arial" w:cs="Arial"/>
          <w:b/>
          <w:sz w:val="24"/>
          <w:szCs w:val="24"/>
          <w:lang w:val="es-BO"/>
        </w:rPr>
        <w:lastRenderedPageBreak/>
        <w:t>ANEXO 1</w:t>
      </w:r>
    </w:p>
    <w:p w:rsidR="00BE620D" w:rsidRDefault="00BE620D" w:rsidP="00BE620D">
      <w:pPr>
        <w:jc w:val="center"/>
        <w:rPr>
          <w:rFonts w:ascii="Arial" w:hAnsi="Arial" w:cs="Arial"/>
          <w:b/>
          <w:sz w:val="24"/>
          <w:szCs w:val="24"/>
          <w:lang w:val="es-BO"/>
        </w:rPr>
      </w:pPr>
    </w:p>
    <w:p w:rsidR="00BE620D" w:rsidRPr="00BE620D" w:rsidRDefault="00BE620D" w:rsidP="00BE620D">
      <w:pPr>
        <w:jc w:val="center"/>
        <w:rPr>
          <w:rFonts w:ascii="Arial" w:hAnsi="Arial" w:cs="Arial"/>
          <w:b/>
          <w:sz w:val="24"/>
          <w:szCs w:val="24"/>
          <w:lang w:val="es-BO"/>
        </w:rPr>
      </w:pPr>
      <w:r w:rsidRPr="00BE620D">
        <w:rPr>
          <w:rFonts w:ascii="Arial" w:hAnsi="Arial" w:cs="Arial"/>
          <w:b/>
          <w:sz w:val="24"/>
          <w:szCs w:val="24"/>
          <w:lang w:val="es-BO"/>
        </w:rPr>
        <w:t>PROYECTO DE DECRETO SUPREMO</w:t>
      </w:r>
    </w:p>
    <w:p w:rsidR="00BE620D" w:rsidRPr="0085268C" w:rsidRDefault="00BE620D" w:rsidP="00BE620D">
      <w:pPr>
        <w:jc w:val="center"/>
        <w:rPr>
          <w:rFonts w:ascii="Arial" w:hAnsi="Arial" w:cs="Arial"/>
          <w:b/>
          <w:lang w:val="es-BO"/>
        </w:rPr>
      </w:pPr>
    </w:p>
    <w:p w:rsidR="00BE620D" w:rsidRPr="0085268C" w:rsidRDefault="00BE620D" w:rsidP="00BE620D">
      <w:pPr>
        <w:pStyle w:val="NormalWeb"/>
        <w:spacing w:before="0" w:beforeAutospacing="0" w:after="0" w:afterAutospacing="0"/>
        <w:ind w:right="40"/>
        <w:jc w:val="center"/>
        <w:rPr>
          <w:rFonts w:ascii="Arial" w:hAnsi="Arial" w:cs="Arial"/>
          <w:sz w:val="22"/>
          <w:szCs w:val="22"/>
          <w:lang w:val="es-BO"/>
        </w:rPr>
      </w:pPr>
      <w:r w:rsidRPr="0085268C">
        <w:rPr>
          <w:rFonts w:ascii="Arial" w:hAnsi="Arial" w:cs="Arial"/>
          <w:b/>
          <w:bCs/>
          <w:sz w:val="22"/>
          <w:szCs w:val="22"/>
          <w:u w:val="single"/>
          <w:lang w:val="es-BO"/>
        </w:rPr>
        <w:t>DECRETO SUPREMO N° …..</w:t>
      </w:r>
    </w:p>
    <w:p w:rsidR="00BE620D" w:rsidRPr="0085268C" w:rsidRDefault="00BE620D" w:rsidP="00BE620D">
      <w:pPr>
        <w:pStyle w:val="NormalWeb"/>
        <w:spacing w:before="0" w:beforeAutospacing="0" w:after="0" w:afterAutospacing="0"/>
        <w:ind w:right="40"/>
        <w:jc w:val="center"/>
        <w:rPr>
          <w:rFonts w:ascii="Arial" w:hAnsi="Arial" w:cs="Arial"/>
          <w:sz w:val="22"/>
          <w:szCs w:val="22"/>
          <w:lang w:val="es-BO"/>
        </w:rPr>
      </w:pPr>
      <w:r w:rsidRPr="0085268C">
        <w:rPr>
          <w:rFonts w:ascii="Arial" w:hAnsi="Arial" w:cs="Arial"/>
          <w:b/>
          <w:bCs/>
          <w:sz w:val="22"/>
          <w:szCs w:val="22"/>
          <w:u w:val="single"/>
          <w:lang w:val="es-BO"/>
        </w:rPr>
        <w:t>EVO MORALES AYMA</w:t>
      </w:r>
    </w:p>
    <w:p w:rsidR="00BE620D" w:rsidRPr="0085268C" w:rsidRDefault="00BE620D" w:rsidP="00BE620D">
      <w:pPr>
        <w:pStyle w:val="NormalWeb"/>
        <w:spacing w:before="0" w:beforeAutospacing="0" w:after="0" w:afterAutospacing="0"/>
        <w:ind w:right="40"/>
        <w:jc w:val="center"/>
        <w:rPr>
          <w:rFonts w:ascii="Arial" w:hAnsi="Arial" w:cs="Arial"/>
          <w:sz w:val="22"/>
          <w:szCs w:val="22"/>
          <w:lang w:val="es-BO"/>
        </w:rPr>
      </w:pPr>
      <w:r w:rsidRPr="0085268C">
        <w:rPr>
          <w:rFonts w:ascii="Arial" w:hAnsi="Arial" w:cs="Arial"/>
          <w:b/>
          <w:bCs/>
          <w:sz w:val="22"/>
          <w:szCs w:val="22"/>
          <w:u w:val="single"/>
          <w:lang w:val="es-BO"/>
        </w:rPr>
        <w:t>PRESIDENTE CONSTITUCIONAL DEL ESTADO PLURINACIONAL DE BOLIVIA</w:t>
      </w:r>
    </w:p>
    <w:p w:rsidR="00BE620D" w:rsidRPr="0085268C" w:rsidRDefault="00BE620D" w:rsidP="00BE620D">
      <w:pPr>
        <w:pStyle w:val="NormalWeb"/>
        <w:spacing w:before="0" w:beforeAutospacing="0" w:after="0" w:afterAutospacing="0"/>
        <w:ind w:left="720"/>
        <w:rPr>
          <w:rFonts w:ascii="Arial" w:hAnsi="Arial" w:cs="Arial"/>
          <w:sz w:val="22"/>
          <w:szCs w:val="22"/>
          <w:lang w:val="es-BO"/>
        </w:rPr>
      </w:pPr>
      <w:r w:rsidRPr="0085268C">
        <w:rPr>
          <w:rFonts w:ascii="Arial" w:hAnsi="Arial" w:cs="Arial"/>
          <w:sz w:val="22"/>
          <w:szCs w:val="22"/>
          <w:lang w:val="es-BO"/>
        </w:rPr>
        <w:t> </w:t>
      </w:r>
      <w:r w:rsidRPr="0085268C">
        <w:rPr>
          <w:rFonts w:ascii="Arial" w:hAnsi="Arial" w:cs="Arial"/>
          <w:b/>
          <w:bCs/>
          <w:sz w:val="22"/>
          <w:szCs w:val="22"/>
          <w:lang w:val="es-BO"/>
        </w:rPr>
        <w:t> </w:t>
      </w:r>
    </w:p>
    <w:p w:rsidR="00BE620D" w:rsidRPr="0085268C" w:rsidRDefault="00BE620D" w:rsidP="00BE620D">
      <w:pPr>
        <w:pStyle w:val="NormalWeb"/>
        <w:spacing w:before="0" w:beforeAutospacing="0" w:after="0" w:afterAutospacing="0"/>
        <w:rPr>
          <w:rFonts w:ascii="Arial" w:hAnsi="Arial" w:cs="Arial"/>
          <w:sz w:val="22"/>
          <w:szCs w:val="22"/>
          <w:lang w:val="es-BO"/>
        </w:rPr>
      </w:pPr>
      <w:r w:rsidRPr="0085268C">
        <w:rPr>
          <w:rFonts w:ascii="Arial" w:hAnsi="Arial" w:cs="Arial"/>
          <w:b/>
          <w:bCs/>
          <w:sz w:val="22"/>
          <w:szCs w:val="22"/>
          <w:lang w:val="es-BO"/>
        </w:rPr>
        <w:t>C O N S I D E R A N D O:</w:t>
      </w:r>
    </w:p>
    <w:p w:rsidR="00BE620D" w:rsidRPr="0085268C" w:rsidRDefault="00BE620D" w:rsidP="00BE620D">
      <w:pPr>
        <w:pStyle w:val="NormalWeb"/>
        <w:spacing w:before="0" w:beforeAutospacing="0" w:after="0" w:afterAutospacing="0"/>
        <w:ind w:firstLine="840"/>
        <w:jc w:val="both"/>
        <w:rPr>
          <w:rFonts w:ascii="Arial" w:hAnsi="Arial" w:cs="Arial"/>
          <w:sz w:val="22"/>
          <w:szCs w:val="22"/>
          <w:lang w:val="es-BO"/>
        </w:rPr>
      </w:pPr>
    </w:p>
    <w:p w:rsidR="00BE620D" w:rsidRPr="0085268C" w:rsidRDefault="00BE620D" w:rsidP="00BE620D">
      <w:pPr>
        <w:pStyle w:val="NormalWeb"/>
        <w:spacing w:before="0" w:beforeAutospacing="0" w:after="0" w:afterAutospacing="0"/>
        <w:ind w:firstLine="840"/>
        <w:jc w:val="both"/>
        <w:rPr>
          <w:rFonts w:ascii="Arial" w:hAnsi="Arial" w:cs="Arial"/>
          <w:sz w:val="22"/>
          <w:szCs w:val="22"/>
          <w:lang w:val="es-BO"/>
        </w:rPr>
      </w:pPr>
      <w:r w:rsidRPr="0085268C">
        <w:rPr>
          <w:rFonts w:ascii="Arial" w:hAnsi="Arial" w:cs="Arial"/>
          <w:sz w:val="22"/>
          <w:szCs w:val="22"/>
          <w:lang w:val="es-BO"/>
        </w:rPr>
        <w:t xml:space="preserve">Que el Parágrafo II del Artículo 91 de la Constitución Política del Estado, establece el rol de las Universidades para desarrollar procesos de investigación científica orientados a resolver problemas de la base productiva y de su entorno social; promover políticas de extensión e interacción social para fortalecer la diversidad científica, cultural y lingüística; participar junto a su pueblo en todos los procesos de liberación social, para construir una sociedad con mayor equidad y justicia social. </w:t>
      </w:r>
    </w:p>
    <w:p w:rsidR="00BE620D" w:rsidRPr="0085268C" w:rsidRDefault="00BE620D" w:rsidP="00BE620D">
      <w:pPr>
        <w:pStyle w:val="NormalWeb"/>
        <w:spacing w:before="0" w:beforeAutospacing="0" w:after="0" w:afterAutospacing="0"/>
        <w:ind w:firstLine="840"/>
        <w:jc w:val="both"/>
        <w:rPr>
          <w:rFonts w:ascii="Arial" w:hAnsi="Arial" w:cs="Arial"/>
          <w:sz w:val="22"/>
          <w:szCs w:val="22"/>
          <w:lang w:val="es-BO"/>
        </w:rPr>
      </w:pPr>
    </w:p>
    <w:p w:rsidR="00BE620D" w:rsidRPr="0085268C" w:rsidRDefault="00BE620D" w:rsidP="00BE620D">
      <w:pPr>
        <w:autoSpaceDE w:val="0"/>
        <w:autoSpaceDN w:val="0"/>
        <w:adjustRightInd w:val="0"/>
        <w:spacing w:after="0" w:line="240" w:lineRule="auto"/>
        <w:ind w:firstLine="708"/>
        <w:jc w:val="both"/>
        <w:rPr>
          <w:rFonts w:ascii="Arial" w:hAnsi="Arial" w:cs="Arial"/>
          <w:lang w:val="es-BO"/>
        </w:rPr>
      </w:pPr>
      <w:r w:rsidRPr="0085268C">
        <w:rPr>
          <w:rFonts w:ascii="Arial" w:hAnsi="Arial" w:cs="Arial"/>
          <w:lang w:val="es-BO"/>
        </w:rPr>
        <w:t>Que el Artículo 92 de la Constitución Política del Estado, establece: “Las universidades públicas son autónomas e iguales en jerarquía. La autonomía consiste en la libre administración de sus recursos; el nombramiento de sus autoridades, su personal docente y administrativo; la elaboración y aprobación de sus estatutos, planes de estudio y presupuestos anuales; y la aceptación de legados y donaciones, así como la celebración de contratos, para realizar sus fines y sostener y perfeccionar sus institutos y facultades. Las universidades públicas podrán negociar empréstitos con garantía de sus bienes y recursos, previa aprobación legislativa”. También, en el Parágrafo II, establece que las universidades públicas constituirán, en ejercicio de su autonomía, la Universidad Boliviana, que coordinará y programará sus fines y funciones mediante un organismo central, de acuerdo con un plan de desarrollo universitario.</w:t>
      </w:r>
    </w:p>
    <w:p w:rsidR="00BE620D" w:rsidRPr="0085268C" w:rsidRDefault="00BE620D" w:rsidP="00BE620D">
      <w:pPr>
        <w:pStyle w:val="Ttulo5"/>
        <w:shd w:val="clear" w:color="auto" w:fill="FFFFFF"/>
        <w:spacing w:before="0" w:beforeAutospacing="0" w:after="0" w:afterAutospacing="0"/>
        <w:jc w:val="both"/>
        <w:rPr>
          <w:rFonts w:ascii="Arial" w:hAnsi="Arial" w:cs="Arial"/>
          <w:sz w:val="22"/>
          <w:szCs w:val="22"/>
        </w:rPr>
      </w:pPr>
    </w:p>
    <w:p w:rsidR="00BE620D" w:rsidRPr="0085268C" w:rsidRDefault="00BE620D" w:rsidP="00BE620D">
      <w:pPr>
        <w:pStyle w:val="Ttulo5"/>
        <w:shd w:val="clear" w:color="auto" w:fill="FFFFFF"/>
        <w:spacing w:before="0" w:beforeAutospacing="0" w:after="0" w:afterAutospacing="0"/>
        <w:jc w:val="both"/>
        <w:rPr>
          <w:rFonts w:ascii="Arial" w:hAnsi="Arial" w:cs="Arial"/>
          <w:b w:val="0"/>
          <w:sz w:val="22"/>
          <w:szCs w:val="22"/>
        </w:rPr>
      </w:pPr>
      <w:r w:rsidRPr="0085268C">
        <w:rPr>
          <w:rFonts w:ascii="Arial" w:hAnsi="Arial" w:cs="Arial"/>
          <w:b w:val="0"/>
          <w:sz w:val="22"/>
          <w:szCs w:val="22"/>
        </w:rPr>
        <w:tab/>
        <w:t>Que el Artículo 103 de la Sección IV de la Constitución Política del Estado, establece la responsabilidad del Estado para el desarrollo de ciencia y la investigación científica, técnica y tecnológica de beneficio del interés general. Destinará los recursos necesarios para crear el sistema estatal de ciencia y tecnología. De la misma forma, en el Parágrafo III de éste Artículo, establece que el Estado, las universidades, las empresas productivas y de servicio públicas y privadas, y las naciones y pueblos indígena originario campesinos, desarrollarán y coordinarán procesos de investigación, innovación, promoción, divulgación, aplicación y transferencia de ciencia y tecnología para fortalecer la base productiva e impulsar el desarrollo integral de la sociedad, de acuerdo con la ley.</w:t>
      </w:r>
    </w:p>
    <w:p w:rsidR="00BE620D" w:rsidRPr="0085268C" w:rsidRDefault="00BE620D" w:rsidP="00BE620D">
      <w:pPr>
        <w:pStyle w:val="NormalWeb"/>
        <w:spacing w:before="0" w:beforeAutospacing="0" w:after="0" w:afterAutospacing="0"/>
        <w:ind w:firstLine="840"/>
        <w:jc w:val="both"/>
        <w:rPr>
          <w:rFonts w:ascii="Arial" w:hAnsi="Arial" w:cs="Arial"/>
          <w:sz w:val="22"/>
          <w:szCs w:val="22"/>
          <w:lang w:val="es-BO"/>
        </w:rPr>
      </w:pPr>
    </w:p>
    <w:p w:rsidR="00BE620D" w:rsidRPr="0085268C" w:rsidRDefault="00BE620D" w:rsidP="00BE620D">
      <w:pPr>
        <w:pStyle w:val="NormalWeb"/>
        <w:spacing w:before="0" w:beforeAutospacing="0" w:after="0" w:afterAutospacing="0"/>
        <w:ind w:firstLine="840"/>
        <w:jc w:val="both"/>
        <w:rPr>
          <w:rFonts w:ascii="Arial" w:hAnsi="Arial" w:cs="Arial"/>
          <w:sz w:val="22"/>
          <w:szCs w:val="22"/>
          <w:lang w:val="es-BO"/>
        </w:rPr>
      </w:pPr>
      <w:r w:rsidRPr="0085268C">
        <w:rPr>
          <w:rFonts w:ascii="Arial" w:hAnsi="Arial" w:cs="Arial"/>
          <w:sz w:val="22"/>
          <w:szCs w:val="22"/>
          <w:lang w:val="es-BO"/>
        </w:rPr>
        <w:t>Que el Artículo 53 de la Ley Nº 3058, de 17 de mayo de 2005, de Hidrocarburos, crea el Impuesto Directo a los Hidrocarburos – IDH, que se aplicará, en todo el territorio nacional, a la producción de hidrocarburos en Boca de Pozo, que se medirá y pagará como las regalías, de acuerdo a lo establecido en la citada Ley y su reglamentación.</w:t>
      </w:r>
    </w:p>
    <w:p w:rsidR="00BE620D" w:rsidRPr="0085268C" w:rsidRDefault="00BE620D" w:rsidP="00BE620D">
      <w:pPr>
        <w:pStyle w:val="NormalWeb"/>
        <w:spacing w:before="0" w:beforeAutospacing="0" w:after="0" w:afterAutospacing="0"/>
        <w:ind w:firstLine="840"/>
        <w:jc w:val="both"/>
        <w:rPr>
          <w:rFonts w:ascii="Arial" w:hAnsi="Arial" w:cs="Arial"/>
          <w:sz w:val="22"/>
          <w:szCs w:val="22"/>
          <w:lang w:val="es-BO"/>
        </w:rPr>
      </w:pPr>
    </w:p>
    <w:p w:rsidR="00BE620D" w:rsidRPr="0085268C" w:rsidRDefault="00BE620D" w:rsidP="00BE620D">
      <w:pPr>
        <w:pStyle w:val="NormalWeb"/>
        <w:spacing w:before="0" w:beforeAutospacing="0" w:after="0" w:afterAutospacing="0"/>
        <w:ind w:firstLine="840"/>
        <w:jc w:val="both"/>
        <w:rPr>
          <w:rFonts w:ascii="Arial" w:hAnsi="Arial" w:cs="Arial"/>
          <w:sz w:val="22"/>
          <w:szCs w:val="22"/>
          <w:lang w:val="es-BO"/>
        </w:rPr>
      </w:pPr>
      <w:r w:rsidRPr="0085268C">
        <w:rPr>
          <w:rFonts w:ascii="Arial" w:hAnsi="Arial" w:cs="Arial"/>
          <w:sz w:val="22"/>
          <w:szCs w:val="22"/>
          <w:lang w:val="es-BO"/>
        </w:rPr>
        <w:t> Que el párrafo segundo del Artículo 57 de la Ley Nº 3058, establece que todos los beneficiarios destinarán los recursos recibidos por IDH, para los sectores de educación, salud y caminos, desarrollo productivo y todo lo que contribuya a la generación de fuentes de trabajo.</w:t>
      </w:r>
    </w:p>
    <w:p w:rsidR="00BE620D" w:rsidRPr="0085268C" w:rsidRDefault="00BE620D" w:rsidP="00BE620D">
      <w:pPr>
        <w:pStyle w:val="NormalWeb"/>
        <w:spacing w:before="0" w:beforeAutospacing="0" w:after="0" w:afterAutospacing="0"/>
        <w:ind w:firstLine="840"/>
        <w:rPr>
          <w:rFonts w:ascii="Arial" w:hAnsi="Arial" w:cs="Arial"/>
          <w:sz w:val="22"/>
          <w:szCs w:val="22"/>
          <w:lang w:val="es-BO"/>
        </w:rPr>
      </w:pPr>
      <w:r w:rsidRPr="0085268C">
        <w:rPr>
          <w:rFonts w:ascii="Arial" w:hAnsi="Arial" w:cs="Arial"/>
          <w:sz w:val="22"/>
          <w:szCs w:val="22"/>
          <w:lang w:val="es-BO"/>
        </w:rPr>
        <w:t> </w:t>
      </w:r>
    </w:p>
    <w:p w:rsidR="00BE620D" w:rsidRPr="0085268C" w:rsidRDefault="00BE620D" w:rsidP="00BE620D">
      <w:pPr>
        <w:pStyle w:val="NormalWeb"/>
        <w:spacing w:before="0" w:beforeAutospacing="0" w:after="0" w:afterAutospacing="0"/>
        <w:ind w:firstLine="840"/>
        <w:jc w:val="both"/>
        <w:rPr>
          <w:rFonts w:ascii="Arial" w:hAnsi="Arial" w:cs="Arial"/>
          <w:sz w:val="22"/>
          <w:szCs w:val="22"/>
          <w:lang w:val="es-BO"/>
        </w:rPr>
      </w:pPr>
      <w:r w:rsidRPr="0085268C">
        <w:rPr>
          <w:rFonts w:ascii="Arial" w:hAnsi="Arial" w:cs="Arial"/>
          <w:sz w:val="22"/>
          <w:szCs w:val="22"/>
          <w:lang w:val="es-BO"/>
        </w:rPr>
        <w:t>Que el Artículo 56 de la Ley Nº 070, de 20 de diciembre de 2010, de la Educación “Avelino Siñani - Elizardo Pérez”, dispone que las Universidades Públicas Autónomas se regirán por lo establecido en la Constitución Política del Estado. </w:t>
      </w:r>
    </w:p>
    <w:p w:rsidR="00BE620D" w:rsidRPr="0085268C" w:rsidRDefault="00BE620D" w:rsidP="00BE620D">
      <w:pPr>
        <w:pStyle w:val="NormalWeb"/>
        <w:spacing w:before="0" w:beforeAutospacing="0" w:after="0" w:afterAutospacing="0"/>
        <w:ind w:firstLine="840"/>
        <w:jc w:val="both"/>
        <w:rPr>
          <w:rFonts w:ascii="Arial" w:hAnsi="Arial" w:cs="Arial"/>
          <w:sz w:val="22"/>
          <w:szCs w:val="22"/>
          <w:lang w:val="es-BO"/>
        </w:rPr>
      </w:pPr>
      <w:r w:rsidRPr="0085268C">
        <w:rPr>
          <w:rFonts w:ascii="Arial" w:hAnsi="Arial" w:cs="Arial"/>
          <w:sz w:val="22"/>
          <w:szCs w:val="22"/>
          <w:lang w:val="es-BO"/>
        </w:rPr>
        <w:lastRenderedPageBreak/>
        <w:t>Que el inciso c) del Parágrafo II del Artículo 8 del Decreto Supremo N° 28223, de 27 de junio de 2005, modificado por el Artículo 2 del Decreto Supremo Nº 28421, de 21 de octubre de 2005, señala que las Universidades Públicas destinarán recursos del IDH para actividades definidas en los Programas Operativos Anuales – POA consignados en el presupuesto de la gestión, en componentes de infraestructura y equipamiento académico, procesos de evaluación y acreditación, programas de mejoramiento de la calidad y rendimiento académico, investigación científica, tecnología e innovación en el marco de los planes de desarrollo y producción a nivel nacional, departamental y local, y programas de interacción social dirigidos principalmente a poblaciones vulnerables y con altos índices de pobreza.</w:t>
      </w:r>
    </w:p>
    <w:p w:rsidR="00BE620D" w:rsidRPr="0085268C" w:rsidRDefault="00BE620D" w:rsidP="00BE620D">
      <w:pPr>
        <w:pStyle w:val="NormalWeb"/>
        <w:spacing w:before="0" w:beforeAutospacing="0" w:after="0" w:afterAutospacing="0"/>
        <w:ind w:right="40" w:firstLine="840"/>
        <w:rPr>
          <w:rFonts w:ascii="Arial" w:hAnsi="Arial" w:cs="Arial"/>
          <w:sz w:val="22"/>
          <w:szCs w:val="22"/>
          <w:lang w:val="es-BO"/>
        </w:rPr>
      </w:pPr>
      <w:r w:rsidRPr="0085268C">
        <w:rPr>
          <w:rFonts w:ascii="Arial" w:hAnsi="Arial" w:cs="Arial"/>
          <w:sz w:val="22"/>
          <w:szCs w:val="22"/>
          <w:lang w:val="es-BO"/>
        </w:rPr>
        <w:t> </w:t>
      </w:r>
    </w:p>
    <w:p w:rsidR="00BE620D" w:rsidRPr="0085268C" w:rsidRDefault="00BE620D" w:rsidP="00BE620D">
      <w:pPr>
        <w:pStyle w:val="NormalWeb"/>
        <w:spacing w:before="0" w:beforeAutospacing="0" w:after="0" w:afterAutospacing="0"/>
        <w:ind w:firstLine="840"/>
        <w:jc w:val="both"/>
        <w:rPr>
          <w:rFonts w:ascii="Arial" w:hAnsi="Arial" w:cs="Arial"/>
          <w:sz w:val="22"/>
          <w:szCs w:val="22"/>
          <w:lang w:val="es-BO"/>
        </w:rPr>
      </w:pPr>
      <w:r w:rsidRPr="0085268C">
        <w:rPr>
          <w:rFonts w:ascii="Arial" w:hAnsi="Arial" w:cs="Arial"/>
          <w:sz w:val="22"/>
          <w:szCs w:val="22"/>
          <w:lang w:val="es-BO"/>
        </w:rPr>
        <w:t>Que es necesario autorizar el uso de los recursos del IDH a las Universidades Públicas Autónomas, a fin de coadyuvar en las actividades de investigación científica y tecnológica en el marco del Plan Nacional de Desarrollo Económico y Social 2016-2020 y la Agenda 2025.</w:t>
      </w:r>
    </w:p>
    <w:p w:rsidR="00BE620D" w:rsidRPr="0085268C" w:rsidRDefault="00BE620D" w:rsidP="00BE620D">
      <w:pPr>
        <w:pStyle w:val="NormalWeb"/>
        <w:spacing w:before="0" w:beforeAutospacing="0" w:after="0" w:afterAutospacing="0"/>
        <w:rPr>
          <w:rFonts w:ascii="Arial" w:hAnsi="Arial" w:cs="Arial"/>
          <w:sz w:val="22"/>
          <w:szCs w:val="22"/>
          <w:lang w:val="es-BO"/>
        </w:rPr>
      </w:pPr>
      <w:r w:rsidRPr="0085268C">
        <w:rPr>
          <w:rFonts w:ascii="Arial" w:hAnsi="Arial" w:cs="Arial"/>
          <w:sz w:val="22"/>
          <w:szCs w:val="22"/>
          <w:lang w:val="es-BO"/>
        </w:rPr>
        <w:t> </w:t>
      </w:r>
    </w:p>
    <w:p w:rsidR="00BE620D" w:rsidRPr="0085268C" w:rsidRDefault="00BE620D" w:rsidP="00BE620D">
      <w:pPr>
        <w:pStyle w:val="NormalWeb"/>
        <w:spacing w:before="0" w:beforeAutospacing="0" w:after="0" w:afterAutospacing="0"/>
        <w:jc w:val="center"/>
        <w:rPr>
          <w:rFonts w:ascii="Arial" w:hAnsi="Arial" w:cs="Arial"/>
          <w:sz w:val="22"/>
          <w:szCs w:val="22"/>
          <w:lang w:val="es-BO"/>
        </w:rPr>
      </w:pPr>
      <w:r w:rsidRPr="0085268C">
        <w:rPr>
          <w:rFonts w:ascii="Arial" w:hAnsi="Arial" w:cs="Arial"/>
          <w:b/>
          <w:bCs/>
          <w:sz w:val="22"/>
          <w:szCs w:val="22"/>
          <w:lang w:val="es-BO"/>
        </w:rPr>
        <w:t>EN CONSEJO DE MINISTROS,</w:t>
      </w:r>
    </w:p>
    <w:p w:rsidR="00BE620D" w:rsidRPr="0085268C" w:rsidRDefault="00BE620D" w:rsidP="00BE620D">
      <w:pPr>
        <w:pStyle w:val="NormalWeb"/>
        <w:spacing w:before="0" w:beforeAutospacing="0" w:after="0" w:afterAutospacing="0"/>
        <w:rPr>
          <w:rFonts w:ascii="Arial" w:hAnsi="Arial" w:cs="Arial"/>
          <w:b/>
          <w:bCs/>
          <w:sz w:val="22"/>
          <w:szCs w:val="22"/>
          <w:lang w:val="es-BO"/>
        </w:rPr>
      </w:pPr>
      <w:r w:rsidRPr="0085268C">
        <w:rPr>
          <w:rFonts w:ascii="Arial" w:hAnsi="Arial" w:cs="Arial"/>
          <w:b/>
          <w:bCs/>
          <w:sz w:val="22"/>
          <w:szCs w:val="22"/>
          <w:lang w:val="es-BO"/>
        </w:rPr>
        <w:t> </w:t>
      </w:r>
    </w:p>
    <w:p w:rsidR="00BE620D" w:rsidRPr="0085268C" w:rsidRDefault="00BE620D" w:rsidP="00BE620D">
      <w:pPr>
        <w:pStyle w:val="NormalWeb"/>
        <w:spacing w:before="0" w:beforeAutospacing="0" w:after="0" w:afterAutospacing="0"/>
        <w:rPr>
          <w:rFonts w:ascii="Arial" w:hAnsi="Arial" w:cs="Arial"/>
          <w:sz w:val="22"/>
          <w:szCs w:val="22"/>
          <w:lang w:val="es-BO"/>
        </w:rPr>
      </w:pPr>
      <w:r w:rsidRPr="0085268C">
        <w:rPr>
          <w:rFonts w:ascii="Arial" w:hAnsi="Arial" w:cs="Arial"/>
          <w:b/>
          <w:bCs/>
          <w:sz w:val="22"/>
          <w:szCs w:val="22"/>
          <w:lang w:val="es-BO"/>
        </w:rPr>
        <w:t>D E C R E T A:</w:t>
      </w:r>
    </w:p>
    <w:p w:rsidR="00BE620D" w:rsidRPr="0085268C" w:rsidRDefault="00BE620D" w:rsidP="00BE620D">
      <w:pPr>
        <w:pStyle w:val="NormalWeb"/>
        <w:spacing w:before="0" w:beforeAutospacing="0" w:after="0" w:afterAutospacing="0"/>
        <w:jc w:val="both"/>
        <w:rPr>
          <w:rFonts w:ascii="Arial" w:hAnsi="Arial" w:cs="Arial"/>
          <w:sz w:val="22"/>
          <w:szCs w:val="22"/>
          <w:lang w:val="es-BO"/>
        </w:rPr>
      </w:pPr>
    </w:p>
    <w:p w:rsidR="00BE620D" w:rsidRPr="0085268C" w:rsidRDefault="00BE620D" w:rsidP="00BE620D">
      <w:pPr>
        <w:pStyle w:val="NormalWeb"/>
        <w:spacing w:before="0" w:beforeAutospacing="0" w:after="0" w:afterAutospacing="0"/>
        <w:ind w:firstLine="708"/>
        <w:jc w:val="both"/>
        <w:rPr>
          <w:rFonts w:ascii="Arial" w:hAnsi="Arial" w:cs="Arial"/>
          <w:sz w:val="22"/>
          <w:szCs w:val="22"/>
          <w:lang w:val="es-BO"/>
        </w:rPr>
      </w:pPr>
      <w:r w:rsidRPr="0085268C">
        <w:rPr>
          <w:rFonts w:ascii="Arial" w:hAnsi="Arial" w:cs="Arial"/>
          <w:b/>
          <w:bCs/>
          <w:sz w:val="22"/>
          <w:szCs w:val="22"/>
          <w:lang w:val="es-BO"/>
        </w:rPr>
        <w:t>ARTÍCULO 1.- (OBJETO).</w:t>
      </w:r>
      <w:r w:rsidRPr="0085268C">
        <w:rPr>
          <w:rFonts w:ascii="Arial" w:hAnsi="Arial" w:cs="Arial"/>
          <w:sz w:val="22"/>
          <w:szCs w:val="22"/>
          <w:lang w:val="es-BO"/>
        </w:rPr>
        <w:t xml:space="preserve"> El presente Decreto Supremo tiene por objeto autorizar a las Universidades Públicas Autónomas, el uso de recursos provenientes del Impuesto Directo a los Hidrocarburos – IDH como gasto corriente, para la ejecución del Plan Nacional de Ciencia, Tecnología e Innovación del SUB en el marco de las prioridades establecidas en el Plan Nacional de Ciencia y Tecnología, Plan Nacional de Desarrollo e Económico y Social 2016-2020 y la Agenda 2025.</w:t>
      </w:r>
    </w:p>
    <w:p w:rsidR="00BE620D" w:rsidRPr="0085268C" w:rsidRDefault="00BE620D" w:rsidP="00BE620D">
      <w:pPr>
        <w:pStyle w:val="NormalWeb"/>
        <w:spacing w:before="0" w:beforeAutospacing="0" w:after="0" w:afterAutospacing="0"/>
        <w:ind w:firstLine="708"/>
        <w:jc w:val="both"/>
        <w:rPr>
          <w:rFonts w:ascii="Arial" w:hAnsi="Arial" w:cs="Arial"/>
          <w:sz w:val="22"/>
          <w:szCs w:val="22"/>
          <w:lang w:val="es-BO"/>
        </w:rPr>
      </w:pPr>
    </w:p>
    <w:p w:rsidR="00BE620D" w:rsidRPr="0085268C" w:rsidRDefault="00BE620D" w:rsidP="00BE620D">
      <w:pPr>
        <w:spacing w:after="0" w:line="240" w:lineRule="auto"/>
        <w:ind w:firstLine="708"/>
        <w:jc w:val="both"/>
        <w:rPr>
          <w:rFonts w:ascii="Arial" w:hAnsi="Arial" w:cs="Arial"/>
          <w:lang w:val="es-HN"/>
        </w:rPr>
      </w:pPr>
      <w:r w:rsidRPr="0085268C">
        <w:rPr>
          <w:rFonts w:ascii="Arial" w:hAnsi="Arial" w:cs="Arial"/>
          <w:b/>
          <w:bCs/>
          <w:lang w:val="es-BO"/>
        </w:rPr>
        <w:t xml:space="preserve">ARTÍCULO 2.- (CREACION DE LA </w:t>
      </w:r>
      <w:r w:rsidR="001D752D">
        <w:rPr>
          <w:rFonts w:ascii="Arial" w:hAnsi="Arial" w:cs="Arial"/>
          <w:b/>
          <w:bCs/>
          <w:lang w:val="es-BO"/>
        </w:rPr>
        <w:t>ANUCTI</w:t>
      </w:r>
      <w:r w:rsidRPr="0085268C">
        <w:rPr>
          <w:rFonts w:ascii="Arial" w:hAnsi="Arial" w:cs="Arial"/>
          <w:b/>
          <w:bCs/>
          <w:lang w:val="es-BO"/>
        </w:rPr>
        <w:t xml:space="preserve">). </w:t>
      </w:r>
      <w:r w:rsidRPr="0085268C">
        <w:rPr>
          <w:rFonts w:ascii="Arial" w:hAnsi="Arial" w:cs="Arial"/>
          <w:lang w:val="es-HN"/>
        </w:rPr>
        <w:t xml:space="preserve">Autoriza la creación de </w:t>
      </w:r>
      <w:r w:rsidR="001D752D">
        <w:rPr>
          <w:rFonts w:ascii="Arial" w:hAnsi="Arial" w:cs="Arial"/>
          <w:lang w:val="es-HN"/>
        </w:rPr>
        <w:t xml:space="preserve">la Agencia Nacional Universitaria de Ciencia, Tecnología e Innovación (ANUCTI) </w:t>
      </w:r>
      <w:r w:rsidRPr="0085268C">
        <w:rPr>
          <w:rFonts w:ascii="Arial" w:hAnsi="Arial" w:cs="Arial"/>
          <w:lang w:val="es-HN"/>
        </w:rPr>
        <w:t xml:space="preserve">como ente responsable de la ejecución del Plan Nacional de Ciencia, Tecnología e Innovación del SUB, y que debe coordinar estas actividades con </w:t>
      </w:r>
      <w:r w:rsidR="001D752D">
        <w:rPr>
          <w:rFonts w:ascii="Arial" w:hAnsi="Arial" w:cs="Arial"/>
          <w:lang w:val="es-HN"/>
        </w:rPr>
        <w:t xml:space="preserve">el </w:t>
      </w:r>
      <w:r w:rsidRPr="0085268C">
        <w:rPr>
          <w:rFonts w:ascii="Arial" w:hAnsi="Arial" w:cs="Arial"/>
          <w:lang w:val="es-HN"/>
        </w:rPr>
        <w:t xml:space="preserve">Viceministerio de Ciencia y Tecnología </w:t>
      </w:r>
      <w:r w:rsidR="001D752D">
        <w:rPr>
          <w:rFonts w:ascii="Arial" w:hAnsi="Arial" w:cs="Arial"/>
          <w:lang w:val="es-HN"/>
        </w:rPr>
        <w:t xml:space="preserve">(VCyT) </w:t>
      </w:r>
      <w:r w:rsidRPr="0085268C">
        <w:rPr>
          <w:rFonts w:ascii="Arial" w:hAnsi="Arial" w:cs="Arial"/>
          <w:lang w:val="es-HN"/>
        </w:rPr>
        <w:t>en el marco del Plan Nacional de Ciencia y Tecnología y el Sistema Nacional de Innovación. Con este propósito, se autoriza la incorporación de esta Unidad con categoría programática dependiente del Comité Ejecutivo de la Universidad Boliviana (CEUB) para su funcionamiento a partir de la fecha emisión del presente Decreto Supremo.</w:t>
      </w:r>
    </w:p>
    <w:p w:rsidR="00BE620D" w:rsidRPr="0085268C" w:rsidRDefault="00BE620D" w:rsidP="00BE620D">
      <w:pPr>
        <w:pStyle w:val="NormalWeb"/>
        <w:spacing w:before="0" w:beforeAutospacing="0" w:after="0" w:afterAutospacing="0"/>
        <w:jc w:val="both"/>
        <w:rPr>
          <w:rFonts w:ascii="Arial" w:hAnsi="Arial" w:cs="Arial"/>
          <w:b/>
          <w:bCs/>
          <w:sz w:val="22"/>
          <w:szCs w:val="22"/>
          <w:lang w:val="es-HN"/>
        </w:rPr>
      </w:pPr>
    </w:p>
    <w:p w:rsidR="00BE620D" w:rsidRPr="0085268C" w:rsidRDefault="00BE620D" w:rsidP="00BE620D">
      <w:pPr>
        <w:pStyle w:val="NormalWeb"/>
        <w:spacing w:before="0" w:beforeAutospacing="0" w:after="0" w:afterAutospacing="0"/>
        <w:ind w:firstLine="708"/>
        <w:jc w:val="both"/>
        <w:rPr>
          <w:rFonts w:ascii="Arial" w:hAnsi="Arial" w:cs="Arial"/>
          <w:bCs/>
          <w:sz w:val="22"/>
          <w:szCs w:val="22"/>
          <w:lang w:val="es-BO"/>
        </w:rPr>
      </w:pPr>
      <w:r w:rsidRPr="0085268C">
        <w:rPr>
          <w:rFonts w:ascii="Arial" w:hAnsi="Arial" w:cs="Arial"/>
          <w:b/>
          <w:bCs/>
          <w:sz w:val="22"/>
          <w:szCs w:val="22"/>
          <w:lang w:val="es-BO"/>
        </w:rPr>
        <w:t xml:space="preserve">ARTÍCULO 3.- (FONDO NACIONAL UNIVERSITARIO </w:t>
      </w:r>
      <w:r w:rsidR="001D752D">
        <w:rPr>
          <w:rFonts w:ascii="Arial" w:hAnsi="Arial" w:cs="Arial"/>
          <w:b/>
          <w:bCs/>
          <w:sz w:val="22"/>
          <w:szCs w:val="22"/>
          <w:lang w:val="es-BO"/>
        </w:rPr>
        <w:t>DE CIENCIA Y TECNOLOGIA - FONUCyT</w:t>
      </w:r>
      <w:r w:rsidRPr="0085268C">
        <w:rPr>
          <w:rFonts w:ascii="Arial" w:hAnsi="Arial" w:cs="Arial"/>
          <w:b/>
          <w:bCs/>
          <w:sz w:val="22"/>
          <w:szCs w:val="22"/>
          <w:lang w:val="es-BO"/>
        </w:rPr>
        <w:t xml:space="preserve">). </w:t>
      </w:r>
      <w:r w:rsidRPr="0085268C">
        <w:rPr>
          <w:rFonts w:ascii="Arial" w:hAnsi="Arial" w:cs="Arial"/>
          <w:bCs/>
          <w:sz w:val="22"/>
          <w:szCs w:val="22"/>
          <w:lang w:val="es-BO"/>
        </w:rPr>
        <w:t>En el marco de las actividades científicas y tecnológicas que deben ejecutarse en el Plan Nacional de Ciencia, Tecnología e Innovación del SUB, se autoriza transferir el uso de hasta un 1% de los recursos de IDH destinados a las Universidad Públicas del SUB, para constituir el Fondona Nacional Universitario de Investigación (FONUCyT) que permita ejecutar el Plan Nacional de Ciencia, Tecnología e Innovación del Sistema de la Universidad Boliviana (SUB), este fondo debe tener las características de gasto corriente para su manejo.</w:t>
      </w:r>
    </w:p>
    <w:p w:rsidR="00BE620D" w:rsidRPr="0085268C" w:rsidRDefault="00BE620D" w:rsidP="00BE620D">
      <w:pPr>
        <w:pStyle w:val="NormalWeb"/>
        <w:spacing w:before="0" w:beforeAutospacing="0" w:after="0" w:afterAutospacing="0"/>
        <w:ind w:firstLine="708"/>
        <w:jc w:val="both"/>
        <w:rPr>
          <w:rFonts w:ascii="Arial" w:hAnsi="Arial" w:cs="Arial"/>
          <w:bCs/>
          <w:sz w:val="22"/>
          <w:szCs w:val="22"/>
          <w:lang w:val="es-BO"/>
        </w:rPr>
      </w:pPr>
    </w:p>
    <w:p w:rsidR="00BE620D" w:rsidRPr="0085268C" w:rsidRDefault="00BE620D" w:rsidP="00BE620D">
      <w:pPr>
        <w:pStyle w:val="NormalWeb"/>
        <w:spacing w:before="0" w:beforeAutospacing="0" w:after="0" w:afterAutospacing="0"/>
        <w:ind w:firstLine="708"/>
        <w:jc w:val="both"/>
        <w:rPr>
          <w:rFonts w:ascii="Arial" w:hAnsi="Arial" w:cs="Arial"/>
          <w:sz w:val="22"/>
          <w:szCs w:val="22"/>
          <w:lang w:val="es-BO"/>
        </w:rPr>
      </w:pPr>
      <w:r w:rsidRPr="0085268C">
        <w:rPr>
          <w:rFonts w:ascii="Arial" w:hAnsi="Arial" w:cs="Arial"/>
          <w:b/>
          <w:bCs/>
          <w:sz w:val="22"/>
          <w:szCs w:val="22"/>
          <w:lang w:val="es-BO"/>
        </w:rPr>
        <w:t xml:space="preserve">ARTÍCULO 4.- (ADMINISTRACION DEL FONDO NACIONAL UNIVERSITARIO DE </w:t>
      </w:r>
      <w:r w:rsidR="006B3E2F">
        <w:rPr>
          <w:rFonts w:ascii="Arial" w:hAnsi="Arial" w:cs="Arial"/>
          <w:b/>
          <w:bCs/>
          <w:sz w:val="22"/>
          <w:szCs w:val="22"/>
          <w:lang w:val="es-BO"/>
        </w:rPr>
        <w:t>CIENCIA Y TECNOLOGÍA</w:t>
      </w:r>
      <w:r w:rsidRPr="0085268C">
        <w:rPr>
          <w:rFonts w:ascii="Arial" w:hAnsi="Arial" w:cs="Arial"/>
          <w:b/>
          <w:bCs/>
          <w:sz w:val="22"/>
          <w:szCs w:val="22"/>
          <w:lang w:val="es-BO"/>
        </w:rPr>
        <w:t>).</w:t>
      </w:r>
      <w:r w:rsidR="006B3E2F">
        <w:rPr>
          <w:rFonts w:ascii="Arial" w:hAnsi="Arial" w:cs="Arial"/>
          <w:bCs/>
          <w:sz w:val="22"/>
          <w:szCs w:val="22"/>
          <w:lang w:val="es-BO"/>
        </w:rPr>
        <w:t xml:space="preserve"> El Fondo </w:t>
      </w:r>
      <w:r w:rsidRPr="0085268C">
        <w:rPr>
          <w:rFonts w:ascii="Arial" w:hAnsi="Arial" w:cs="Arial"/>
          <w:bCs/>
          <w:sz w:val="22"/>
          <w:szCs w:val="22"/>
          <w:lang w:val="es-BO"/>
        </w:rPr>
        <w:t xml:space="preserve">Nacional Universitario de </w:t>
      </w:r>
      <w:r w:rsidR="006B3E2F">
        <w:rPr>
          <w:rFonts w:ascii="Arial" w:hAnsi="Arial" w:cs="Arial"/>
          <w:bCs/>
          <w:sz w:val="22"/>
          <w:szCs w:val="22"/>
          <w:lang w:val="es-BO"/>
        </w:rPr>
        <w:t xml:space="preserve">Ciencia y Tecnología (FONUCyT) </w:t>
      </w:r>
      <w:r w:rsidRPr="0085268C">
        <w:rPr>
          <w:rFonts w:ascii="Arial" w:hAnsi="Arial" w:cs="Arial"/>
          <w:bCs/>
          <w:sz w:val="22"/>
          <w:szCs w:val="22"/>
          <w:lang w:val="es-BO"/>
        </w:rPr>
        <w:t xml:space="preserve">será administrado por la </w:t>
      </w:r>
      <w:r w:rsidR="006B3E2F">
        <w:rPr>
          <w:rFonts w:ascii="Arial" w:hAnsi="Arial" w:cs="Arial"/>
          <w:bCs/>
          <w:sz w:val="22"/>
          <w:szCs w:val="22"/>
          <w:lang w:val="es-BO"/>
        </w:rPr>
        <w:t>ANUCTI</w:t>
      </w:r>
      <w:r w:rsidRPr="0085268C">
        <w:rPr>
          <w:rFonts w:ascii="Arial" w:hAnsi="Arial" w:cs="Arial"/>
          <w:bCs/>
          <w:sz w:val="22"/>
          <w:szCs w:val="22"/>
          <w:lang w:val="es-BO"/>
        </w:rPr>
        <w:t xml:space="preserve">, </w:t>
      </w:r>
      <w:r w:rsidR="006B3E2F">
        <w:rPr>
          <w:rFonts w:ascii="Arial" w:hAnsi="Arial" w:cs="Arial"/>
          <w:bCs/>
          <w:sz w:val="22"/>
          <w:szCs w:val="22"/>
          <w:lang w:val="es-BO"/>
        </w:rPr>
        <w:t xml:space="preserve">y </w:t>
      </w:r>
      <w:r w:rsidRPr="0085268C">
        <w:rPr>
          <w:rFonts w:ascii="Arial" w:hAnsi="Arial" w:cs="Arial"/>
          <w:bCs/>
          <w:sz w:val="22"/>
          <w:szCs w:val="22"/>
          <w:lang w:val="es-BO"/>
        </w:rPr>
        <w:t>estará destinada las siguientes actividades:</w:t>
      </w:r>
    </w:p>
    <w:p w:rsidR="00BE620D" w:rsidRPr="0085268C" w:rsidRDefault="00BE620D" w:rsidP="00BE620D">
      <w:pPr>
        <w:pStyle w:val="Prrafodelista"/>
        <w:spacing w:after="0"/>
        <w:ind w:left="0"/>
        <w:rPr>
          <w:rFonts w:ascii="Arial" w:hAnsi="Arial" w:cs="Arial"/>
          <w:lang w:val="es-BO"/>
        </w:rPr>
      </w:pPr>
    </w:p>
    <w:p w:rsidR="00BE620D" w:rsidRPr="0085268C" w:rsidRDefault="00BE620D" w:rsidP="00BE620D">
      <w:pPr>
        <w:pStyle w:val="Prrafodelista"/>
        <w:numPr>
          <w:ilvl w:val="1"/>
          <w:numId w:val="24"/>
        </w:numPr>
        <w:spacing w:after="0" w:line="240" w:lineRule="auto"/>
        <w:jc w:val="both"/>
        <w:rPr>
          <w:rFonts w:ascii="Arial" w:hAnsi="Arial" w:cs="Arial"/>
          <w:lang w:val="es-HN"/>
        </w:rPr>
      </w:pPr>
      <w:r w:rsidRPr="0085268C">
        <w:rPr>
          <w:rFonts w:ascii="Arial" w:hAnsi="Arial" w:cs="Arial"/>
          <w:lang w:val="es-HN"/>
        </w:rPr>
        <w:t xml:space="preserve">Formación de recursos humanos a nivel de postgrado científico a través de becas para los investigadores de las universidades y estudiantes de postgrados. </w:t>
      </w:r>
    </w:p>
    <w:p w:rsidR="00BE620D" w:rsidRPr="0085268C" w:rsidRDefault="00BE620D" w:rsidP="00BE620D">
      <w:pPr>
        <w:pStyle w:val="Prrafodelista"/>
        <w:numPr>
          <w:ilvl w:val="1"/>
          <w:numId w:val="24"/>
        </w:numPr>
        <w:spacing w:after="0" w:line="240" w:lineRule="auto"/>
        <w:jc w:val="both"/>
        <w:rPr>
          <w:rFonts w:ascii="Arial" w:hAnsi="Arial" w:cs="Arial"/>
          <w:lang w:val="es-HN"/>
        </w:rPr>
      </w:pPr>
      <w:r w:rsidRPr="0085268C">
        <w:rPr>
          <w:rFonts w:ascii="Arial" w:hAnsi="Arial" w:cs="Arial"/>
          <w:lang w:val="es-HN"/>
        </w:rPr>
        <w:t>Financiar proyectos de investigación, desarrollo tecnológico y/o innovación a través de convocatorias entre los investigadores del SUB.</w:t>
      </w:r>
    </w:p>
    <w:p w:rsidR="00BE620D" w:rsidRPr="0085268C" w:rsidRDefault="00BE620D" w:rsidP="00BE620D">
      <w:pPr>
        <w:pStyle w:val="Prrafodelista"/>
        <w:numPr>
          <w:ilvl w:val="1"/>
          <w:numId w:val="24"/>
        </w:numPr>
        <w:spacing w:after="0" w:line="240" w:lineRule="auto"/>
        <w:jc w:val="both"/>
        <w:rPr>
          <w:rFonts w:ascii="Arial" w:hAnsi="Arial" w:cs="Arial"/>
          <w:lang w:val="es-HN"/>
        </w:rPr>
      </w:pPr>
      <w:r w:rsidRPr="0085268C">
        <w:rPr>
          <w:rFonts w:ascii="Arial" w:hAnsi="Arial" w:cs="Arial"/>
          <w:lang w:val="es-HN"/>
        </w:rPr>
        <w:t>Inversión en infraestructura y equipamiento de unidades de investigación y gestión.</w:t>
      </w:r>
    </w:p>
    <w:p w:rsidR="00BE620D" w:rsidRPr="0085268C" w:rsidRDefault="00BE620D" w:rsidP="00BE620D">
      <w:pPr>
        <w:pStyle w:val="Prrafodelista"/>
        <w:numPr>
          <w:ilvl w:val="1"/>
          <w:numId w:val="24"/>
        </w:numPr>
        <w:spacing w:after="0" w:line="240" w:lineRule="auto"/>
        <w:jc w:val="both"/>
        <w:rPr>
          <w:rFonts w:ascii="Arial" w:hAnsi="Arial" w:cs="Arial"/>
          <w:lang w:val="es-HN"/>
        </w:rPr>
      </w:pPr>
      <w:r w:rsidRPr="0085268C">
        <w:rPr>
          <w:rFonts w:ascii="Arial" w:hAnsi="Arial" w:cs="Arial"/>
          <w:lang w:val="es-BO"/>
        </w:rPr>
        <w:lastRenderedPageBreak/>
        <w:t xml:space="preserve">Pasantías </w:t>
      </w:r>
      <w:r w:rsidRPr="0085268C">
        <w:rPr>
          <w:rFonts w:ascii="Arial" w:hAnsi="Arial" w:cs="Arial"/>
          <w:lang w:val="es-HN"/>
        </w:rPr>
        <w:t>a nivel nacional e internacional</w:t>
      </w:r>
      <w:r w:rsidRPr="0085268C">
        <w:rPr>
          <w:rFonts w:ascii="Arial" w:hAnsi="Arial" w:cs="Arial"/>
          <w:lang w:val="es-BO"/>
        </w:rPr>
        <w:t xml:space="preserve"> para investigadores de acuerdo a convenios específicos, que den resultados concretos en materia de desarrollo académico, económico, social y/o productivo.</w:t>
      </w:r>
    </w:p>
    <w:p w:rsidR="00BE620D" w:rsidRPr="0085268C" w:rsidRDefault="00BE620D" w:rsidP="00BE620D">
      <w:pPr>
        <w:pStyle w:val="Prrafodelista"/>
        <w:numPr>
          <w:ilvl w:val="1"/>
          <w:numId w:val="24"/>
        </w:numPr>
        <w:spacing w:after="0" w:line="240" w:lineRule="auto"/>
        <w:jc w:val="both"/>
        <w:rPr>
          <w:rFonts w:ascii="Arial" w:hAnsi="Arial" w:cs="Arial"/>
          <w:lang w:val="es-HN"/>
        </w:rPr>
      </w:pPr>
      <w:r w:rsidRPr="0085268C">
        <w:rPr>
          <w:rFonts w:ascii="Arial" w:hAnsi="Arial" w:cs="Arial"/>
          <w:lang w:val="es-HN"/>
        </w:rPr>
        <w:t>D</w:t>
      </w:r>
      <w:r w:rsidRPr="0085268C">
        <w:rPr>
          <w:rFonts w:ascii="Arial" w:hAnsi="Arial" w:cs="Arial"/>
          <w:lang w:val="es-BO"/>
        </w:rPr>
        <w:t>ifusión y publicación de trabajos de investigación de docentes y equipos de investigación (docentes, estudiantes y administrativos), que den resultados concretos en materia de desarrollo académico, económico, social y/o productivo.</w:t>
      </w:r>
    </w:p>
    <w:p w:rsidR="00BE620D" w:rsidRPr="0085268C" w:rsidRDefault="00BE620D" w:rsidP="00BE620D">
      <w:pPr>
        <w:pStyle w:val="Prrafodelista"/>
        <w:numPr>
          <w:ilvl w:val="1"/>
          <w:numId w:val="24"/>
        </w:numPr>
        <w:spacing w:after="0" w:line="240" w:lineRule="auto"/>
        <w:jc w:val="both"/>
        <w:rPr>
          <w:rFonts w:ascii="Arial" w:hAnsi="Arial" w:cs="Arial"/>
          <w:lang w:val="es-BO"/>
        </w:rPr>
      </w:pPr>
      <w:r w:rsidRPr="0085268C">
        <w:rPr>
          <w:rFonts w:ascii="Arial" w:hAnsi="Arial" w:cs="Arial"/>
          <w:lang w:val="es-BO"/>
        </w:rPr>
        <w:t>Actividades para propiciar y fortalecer la participación de las Universidades en organismos, programas y redes nacionales e internacionales de ciencia y tecnología.</w:t>
      </w:r>
    </w:p>
    <w:p w:rsidR="00BE620D" w:rsidRPr="0085268C" w:rsidRDefault="00BE620D" w:rsidP="00BE620D">
      <w:pPr>
        <w:pStyle w:val="Prrafodelista"/>
        <w:numPr>
          <w:ilvl w:val="1"/>
          <w:numId w:val="24"/>
        </w:numPr>
        <w:spacing w:after="0" w:line="240" w:lineRule="auto"/>
        <w:jc w:val="both"/>
        <w:rPr>
          <w:rFonts w:ascii="Arial" w:hAnsi="Arial" w:cs="Arial"/>
          <w:lang w:val="es-HN"/>
        </w:rPr>
      </w:pPr>
      <w:r w:rsidRPr="0085268C">
        <w:rPr>
          <w:rFonts w:ascii="Arial" w:hAnsi="Arial" w:cs="Arial"/>
          <w:lang w:val="es-HN"/>
        </w:rPr>
        <w:t>Suscripción a redes y bases de datos científicos internacionales.</w:t>
      </w:r>
    </w:p>
    <w:p w:rsidR="00BE620D" w:rsidRPr="0085268C" w:rsidRDefault="00BE620D" w:rsidP="00BE620D">
      <w:pPr>
        <w:pStyle w:val="Prrafodelista"/>
        <w:numPr>
          <w:ilvl w:val="1"/>
          <w:numId w:val="24"/>
        </w:numPr>
        <w:spacing w:after="0" w:line="240" w:lineRule="auto"/>
        <w:jc w:val="both"/>
        <w:rPr>
          <w:rFonts w:ascii="Arial" w:hAnsi="Arial" w:cs="Arial"/>
          <w:lang w:val="es-BO"/>
        </w:rPr>
      </w:pPr>
      <w:r w:rsidRPr="0085268C">
        <w:rPr>
          <w:rFonts w:ascii="Arial" w:hAnsi="Arial" w:cs="Arial"/>
          <w:lang w:val="es-BO"/>
        </w:rPr>
        <w:t>Actividades para promocionar el potencial de las Universidades para la investigación, la innovación y la prestación de servicios técnicos y tecnológicos entre los productores, gobernaciones, municipios, empresas y otros.</w:t>
      </w:r>
    </w:p>
    <w:p w:rsidR="00BE620D" w:rsidRPr="0085268C" w:rsidRDefault="00BE620D" w:rsidP="00BE620D">
      <w:pPr>
        <w:pStyle w:val="Prrafodelista"/>
        <w:numPr>
          <w:ilvl w:val="1"/>
          <w:numId w:val="24"/>
        </w:numPr>
        <w:spacing w:after="0" w:line="240" w:lineRule="auto"/>
        <w:jc w:val="both"/>
        <w:rPr>
          <w:rFonts w:ascii="Arial" w:hAnsi="Arial" w:cs="Arial"/>
          <w:lang w:val="es-BO"/>
        </w:rPr>
      </w:pPr>
      <w:r w:rsidRPr="0085268C">
        <w:rPr>
          <w:rFonts w:ascii="Arial" w:hAnsi="Arial" w:cs="Arial"/>
          <w:lang w:val="es-BO"/>
        </w:rPr>
        <w:t>Actividades de desarrollo y difusión de ciencia, tecnología, innovación y trabajos de investigación (ferias de ciencias e innovación, congresos y simposios científicos).</w:t>
      </w:r>
    </w:p>
    <w:p w:rsidR="00BE620D" w:rsidRPr="0085268C" w:rsidRDefault="00BE620D" w:rsidP="00BE620D">
      <w:pPr>
        <w:pStyle w:val="Prrafodelista"/>
        <w:numPr>
          <w:ilvl w:val="1"/>
          <w:numId w:val="24"/>
        </w:numPr>
        <w:spacing w:after="0" w:line="240" w:lineRule="auto"/>
        <w:jc w:val="both"/>
        <w:rPr>
          <w:rFonts w:ascii="Arial" w:hAnsi="Arial" w:cs="Arial"/>
          <w:lang w:val="es-BO"/>
        </w:rPr>
      </w:pPr>
      <w:r w:rsidRPr="0085268C">
        <w:rPr>
          <w:rFonts w:ascii="Arial" w:hAnsi="Arial" w:cs="Arial"/>
          <w:lang w:val="es-BO"/>
        </w:rPr>
        <w:t>Otras actividades que contribuyan mejorar las actividades científicas y tecnológicas.</w:t>
      </w:r>
    </w:p>
    <w:p w:rsidR="00BE620D" w:rsidRPr="0085268C" w:rsidRDefault="00BE620D" w:rsidP="00BE620D">
      <w:pPr>
        <w:spacing w:after="0"/>
        <w:rPr>
          <w:rFonts w:ascii="Arial" w:hAnsi="Arial" w:cs="Arial"/>
          <w:lang w:val="es-BO"/>
        </w:rPr>
      </w:pPr>
    </w:p>
    <w:p w:rsidR="00BE620D" w:rsidRPr="0085268C" w:rsidRDefault="00BE620D" w:rsidP="00BE620D">
      <w:pPr>
        <w:spacing w:after="0" w:line="240" w:lineRule="auto"/>
        <w:ind w:firstLine="708"/>
        <w:jc w:val="both"/>
        <w:rPr>
          <w:rFonts w:ascii="Arial" w:eastAsia="Times New Roman" w:hAnsi="Arial" w:cs="Arial"/>
          <w:lang w:val="es-BO"/>
        </w:rPr>
      </w:pPr>
      <w:r w:rsidRPr="0085268C">
        <w:rPr>
          <w:rFonts w:ascii="Arial" w:eastAsia="Times New Roman" w:hAnsi="Arial" w:cs="Arial"/>
          <w:b/>
          <w:bCs/>
          <w:lang w:val="es-BO"/>
        </w:rPr>
        <w:t xml:space="preserve">ARTÍCULO 5.- (REGLAMENTACIÓN). </w:t>
      </w:r>
      <w:r w:rsidRPr="0085268C">
        <w:rPr>
          <w:rFonts w:ascii="Arial" w:eastAsia="Times New Roman" w:hAnsi="Arial" w:cs="Arial"/>
          <w:lang w:val="es-BO"/>
        </w:rPr>
        <w:t xml:space="preserve">Los criterios de selección y asignación de recursos para actividades de investigación científica y tecnológica, formación de talento humano o actividades transversales, estarán sujetos a reglamentación específica </w:t>
      </w:r>
      <w:r w:rsidR="006B3E2F">
        <w:rPr>
          <w:rFonts w:ascii="Arial" w:eastAsia="Times New Roman" w:hAnsi="Arial" w:cs="Arial"/>
          <w:lang w:val="es-BO"/>
        </w:rPr>
        <w:t xml:space="preserve">en el Sistema de la Universidad Boliviana a través de su Comité Ejecutivo (CEUB) </w:t>
      </w:r>
      <w:r w:rsidRPr="0085268C">
        <w:rPr>
          <w:rFonts w:ascii="Arial" w:eastAsia="Times New Roman" w:hAnsi="Arial" w:cs="Arial"/>
          <w:lang w:val="es-BO"/>
        </w:rPr>
        <w:t>o través de las instancias formales que tienen el Sistema de la Universidad Boliviana.</w:t>
      </w:r>
    </w:p>
    <w:p w:rsidR="00BE620D" w:rsidRPr="0085268C" w:rsidRDefault="00BE620D" w:rsidP="00BE620D">
      <w:pPr>
        <w:spacing w:after="0" w:line="240" w:lineRule="auto"/>
        <w:ind w:left="840" w:hanging="840"/>
        <w:jc w:val="both"/>
        <w:rPr>
          <w:rFonts w:ascii="Arial" w:eastAsia="Times New Roman" w:hAnsi="Arial" w:cs="Arial"/>
          <w:b/>
          <w:bCs/>
          <w:lang w:val="es-BO"/>
        </w:rPr>
      </w:pPr>
      <w:r w:rsidRPr="0085268C">
        <w:rPr>
          <w:rFonts w:ascii="Arial" w:eastAsia="Times New Roman" w:hAnsi="Arial" w:cs="Arial"/>
          <w:lang w:val="es-BO"/>
        </w:rPr>
        <w:t> </w:t>
      </w:r>
      <w:r w:rsidRPr="0085268C">
        <w:rPr>
          <w:rFonts w:ascii="Arial" w:eastAsia="Times New Roman" w:hAnsi="Arial" w:cs="Arial"/>
          <w:b/>
          <w:bCs/>
          <w:lang w:val="es-BO"/>
        </w:rPr>
        <w:t> </w:t>
      </w:r>
    </w:p>
    <w:p w:rsidR="00BE620D" w:rsidRPr="0085268C" w:rsidRDefault="00BE620D" w:rsidP="00BE620D">
      <w:pPr>
        <w:spacing w:after="0" w:line="240" w:lineRule="auto"/>
        <w:jc w:val="both"/>
        <w:rPr>
          <w:rFonts w:ascii="Arial" w:eastAsia="Times New Roman" w:hAnsi="Arial" w:cs="Arial"/>
          <w:lang w:val="es-BO"/>
        </w:rPr>
      </w:pPr>
    </w:p>
    <w:p w:rsidR="00BE620D" w:rsidRPr="0085268C" w:rsidRDefault="00BE620D" w:rsidP="00BE620D">
      <w:pPr>
        <w:spacing w:after="0" w:line="240" w:lineRule="auto"/>
        <w:jc w:val="center"/>
        <w:rPr>
          <w:rFonts w:ascii="Arial" w:eastAsia="Times New Roman" w:hAnsi="Arial" w:cs="Arial"/>
          <w:lang w:val="es-BO"/>
        </w:rPr>
      </w:pPr>
      <w:r w:rsidRPr="0085268C">
        <w:rPr>
          <w:rFonts w:ascii="Arial" w:eastAsia="Times New Roman" w:hAnsi="Arial" w:cs="Arial"/>
          <w:b/>
          <w:bCs/>
          <w:lang w:val="es-BO"/>
        </w:rPr>
        <w:t>DISPOSICIONES TRANSITORIAS</w:t>
      </w:r>
    </w:p>
    <w:p w:rsidR="00BE620D" w:rsidRPr="0085268C" w:rsidRDefault="00BE620D" w:rsidP="00BE620D">
      <w:pPr>
        <w:spacing w:after="0" w:line="240" w:lineRule="auto"/>
        <w:jc w:val="both"/>
        <w:rPr>
          <w:rFonts w:ascii="Arial" w:eastAsia="Times New Roman" w:hAnsi="Arial" w:cs="Arial"/>
          <w:lang w:val="es-BO"/>
        </w:rPr>
      </w:pPr>
      <w:r w:rsidRPr="0085268C">
        <w:rPr>
          <w:rFonts w:ascii="Arial" w:eastAsia="Times New Roman" w:hAnsi="Arial" w:cs="Arial"/>
          <w:lang w:val="es-BO"/>
        </w:rPr>
        <w:t> </w:t>
      </w:r>
    </w:p>
    <w:p w:rsidR="00BE620D" w:rsidRPr="0085268C" w:rsidRDefault="00BE620D" w:rsidP="00BE620D">
      <w:pPr>
        <w:spacing w:after="0" w:line="240" w:lineRule="auto"/>
        <w:ind w:firstLine="840"/>
        <w:jc w:val="both"/>
        <w:rPr>
          <w:rFonts w:ascii="Arial" w:eastAsia="Times New Roman" w:hAnsi="Arial" w:cs="Arial"/>
          <w:lang w:val="es-BO"/>
        </w:rPr>
      </w:pPr>
      <w:r w:rsidRPr="0085268C">
        <w:rPr>
          <w:rFonts w:ascii="Arial" w:eastAsia="Times New Roman" w:hAnsi="Arial" w:cs="Arial"/>
          <w:b/>
          <w:bCs/>
          <w:lang w:val="es-BO"/>
        </w:rPr>
        <w:t>DISPOSICIÓN TRANSITORIA ÚNICA.-</w:t>
      </w:r>
      <w:r w:rsidRPr="0085268C">
        <w:rPr>
          <w:rFonts w:ascii="Arial" w:eastAsia="Times New Roman" w:hAnsi="Arial" w:cs="Arial"/>
          <w:lang w:val="es-BO"/>
        </w:rPr>
        <w:t xml:space="preserve"> Para la gestión 2017, los porcentajes autorizados en el presente Decreto Supremo, estarán sujetos a la disponibilidad financiera de ca</w:t>
      </w:r>
      <w:r w:rsidR="006B3E2F">
        <w:rPr>
          <w:rFonts w:ascii="Arial" w:eastAsia="Times New Roman" w:hAnsi="Arial" w:cs="Arial"/>
          <w:lang w:val="es-BO"/>
        </w:rPr>
        <w:t>da Universidad Pública Autónoma y la base de cálculo será el monto de IDH asignado a cada universidad en la gestión 2016.</w:t>
      </w:r>
      <w:r w:rsidRPr="0085268C">
        <w:rPr>
          <w:rFonts w:ascii="Arial" w:eastAsia="Times New Roman" w:hAnsi="Arial" w:cs="Arial"/>
          <w:lang w:val="es-BO"/>
        </w:rPr>
        <w:t xml:space="preserve"> </w:t>
      </w:r>
    </w:p>
    <w:p w:rsidR="00BE620D" w:rsidRPr="0085268C" w:rsidRDefault="00BE620D" w:rsidP="00BE620D">
      <w:pPr>
        <w:spacing w:after="0" w:line="240" w:lineRule="auto"/>
        <w:jc w:val="both"/>
        <w:rPr>
          <w:rFonts w:ascii="Arial" w:eastAsia="Times New Roman" w:hAnsi="Arial" w:cs="Arial"/>
          <w:lang w:val="es-BO"/>
        </w:rPr>
      </w:pPr>
      <w:r w:rsidRPr="0085268C">
        <w:rPr>
          <w:rFonts w:ascii="Arial" w:eastAsia="Times New Roman" w:hAnsi="Arial" w:cs="Arial"/>
          <w:lang w:val="es-BO"/>
        </w:rPr>
        <w:t> </w:t>
      </w:r>
    </w:p>
    <w:p w:rsidR="00BE620D" w:rsidRPr="0085268C" w:rsidRDefault="00BE620D" w:rsidP="00BE620D">
      <w:pPr>
        <w:spacing w:after="0" w:line="240" w:lineRule="auto"/>
        <w:jc w:val="both"/>
        <w:rPr>
          <w:rFonts w:ascii="Arial" w:eastAsia="Times New Roman" w:hAnsi="Arial" w:cs="Arial"/>
          <w:lang w:val="es-BO"/>
        </w:rPr>
      </w:pPr>
    </w:p>
    <w:p w:rsidR="00BE620D" w:rsidRPr="0085268C" w:rsidRDefault="00BE620D" w:rsidP="00BE620D">
      <w:pPr>
        <w:spacing w:after="0" w:line="240" w:lineRule="auto"/>
        <w:jc w:val="both"/>
        <w:rPr>
          <w:rFonts w:ascii="Arial" w:eastAsia="Times New Roman" w:hAnsi="Arial" w:cs="Arial"/>
          <w:lang w:val="es-BO"/>
        </w:rPr>
      </w:pPr>
    </w:p>
    <w:p w:rsidR="00BE620D" w:rsidRPr="0085268C" w:rsidRDefault="00BE620D" w:rsidP="00BE620D">
      <w:pPr>
        <w:spacing w:after="0" w:line="240" w:lineRule="auto"/>
        <w:jc w:val="center"/>
        <w:rPr>
          <w:rFonts w:ascii="Arial" w:eastAsia="Times New Roman" w:hAnsi="Arial" w:cs="Arial"/>
          <w:b/>
          <w:bCs/>
          <w:lang w:val="es-BO"/>
        </w:rPr>
      </w:pPr>
      <w:r w:rsidRPr="0085268C">
        <w:rPr>
          <w:rFonts w:ascii="Arial" w:eastAsia="Times New Roman" w:hAnsi="Arial" w:cs="Arial"/>
          <w:b/>
          <w:bCs/>
          <w:lang w:val="es-BO"/>
        </w:rPr>
        <w:t>DISPOSICIONES FINALES</w:t>
      </w:r>
    </w:p>
    <w:p w:rsidR="00BE620D" w:rsidRPr="0085268C" w:rsidRDefault="00BE620D" w:rsidP="00BE620D">
      <w:pPr>
        <w:spacing w:after="0" w:line="240" w:lineRule="auto"/>
        <w:jc w:val="center"/>
        <w:rPr>
          <w:rFonts w:ascii="Arial" w:eastAsia="Times New Roman" w:hAnsi="Arial" w:cs="Arial"/>
          <w:lang w:val="es-BO"/>
        </w:rPr>
      </w:pPr>
    </w:p>
    <w:p w:rsidR="00BE620D" w:rsidRPr="0085268C" w:rsidRDefault="00BE620D" w:rsidP="00BE620D">
      <w:pPr>
        <w:spacing w:after="0" w:line="240" w:lineRule="auto"/>
        <w:jc w:val="both"/>
        <w:rPr>
          <w:rFonts w:ascii="Arial" w:eastAsia="Times New Roman" w:hAnsi="Arial" w:cs="Arial"/>
          <w:lang w:val="es-BO"/>
        </w:rPr>
      </w:pPr>
      <w:r w:rsidRPr="0085268C">
        <w:rPr>
          <w:rFonts w:ascii="Arial" w:eastAsia="Times New Roman" w:hAnsi="Arial" w:cs="Arial"/>
          <w:lang w:val="es-BO"/>
        </w:rPr>
        <w:t> </w:t>
      </w:r>
    </w:p>
    <w:p w:rsidR="00BE620D" w:rsidRPr="0085268C" w:rsidRDefault="00BE620D" w:rsidP="00BE620D">
      <w:pPr>
        <w:spacing w:after="0" w:line="240" w:lineRule="auto"/>
        <w:ind w:firstLine="840"/>
        <w:jc w:val="both"/>
        <w:rPr>
          <w:rFonts w:ascii="Arial" w:eastAsia="Times New Roman" w:hAnsi="Arial" w:cs="Arial"/>
          <w:lang w:val="es-BO"/>
        </w:rPr>
      </w:pPr>
      <w:r w:rsidRPr="0085268C">
        <w:rPr>
          <w:rFonts w:ascii="Arial" w:eastAsia="Times New Roman" w:hAnsi="Arial" w:cs="Arial"/>
          <w:b/>
          <w:bCs/>
          <w:lang w:val="es-BO"/>
        </w:rPr>
        <w:t>DISPOSICIÓN FINAL ÚNICA.-</w:t>
      </w:r>
      <w:r w:rsidRPr="0085268C">
        <w:rPr>
          <w:rFonts w:ascii="Arial" w:eastAsia="Times New Roman" w:hAnsi="Arial" w:cs="Arial"/>
          <w:lang w:val="es-BO"/>
        </w:rPr>
        <w:t xml:space="preserve"> En caso de que los recursos del IDH disminuyan por efecto del precio internacional de los hidrocarburos, los costos incurridos por la aplicación del presente Decreto Supremo, deberán ser asumidos en su integridad por cada Universidad Pública Autónoma, sin comprometer recursos adicionales del Tesoro General de la Nación – TGN.</w:t>
      </w:r>
    </w:p>
    <w:p w:rsidR="00BE620D" w:rsidRPr="0085268C" w:rsidRDefault="00BE620D" w:rsidP="00BE620D">
      <w:pPr>
        <w:spacing w:after="0" w:line="240" w:lineRule="auto"/>
        <w:ind w:firstLine="840"/>
        <w:jc w:val="both"/>
        <w:rPr>
          <w:rFonts w:ascii="Arial" w:eastAsia="Times New Roman" w:hAnsi="Arial" w:cs="Arial"/>
          <w:lang w:val="es-BO"/>
        </w:rPr>
      </w:pPr>
      <w:r w:rsidRPr="0085268C">
        <w:rPr>
          <w:rFonts w:ascii="Arial" w:eastAsia="Times New Roman" w:hAnsi="Arial" w:cs="Arial"/>
          <w:lang w:val="es-BO"/>
        </w:rPr>
        <w:t> </w:t>
      </w:r>
    </w:p>
    <w:p w:rsidR="00BE620D" w:rsidRPr="0085268C" w:rsidRDefault="00BE620D" w:rsidP="00BE620D">
      <w:pPr>
        <w:spacing w:after="0" w:line="240" w:lineRule="auto"/>
        <w:ind w:firstLine="840"/>
        <w:jc w:val="both"/>
        <w:rPr>
          <w:rFonts w:ascii="Arial" w:eastAsia="Times New Roman" w:hAnsi="Arial" w:cs="Arial"/>
          <w:lang w:val="es-BO"/>
        </w:rPr>
      </w:pPr>
      <w:r w:rsidRPr="0085268C">
        <w:rPr>
          <w:rFonts w:ascii="Arial" w:eastAsia="Times New Roman" w:hAnsi="Arial" w:cs="Arial"/>
          <w:lang w:val="es-BO"/>
        </w:rPr>
        <w:t>Los señores Ministros de Estado en sus respectivos Despachos, quedan encargados de la ejecución y cumplimiento del presente Decreto Supremo.</w:t>
      </w:r>
    </w:p>
    <w:p w:rsidR="00BE620D" w:rsidRPr="0085268C" w:rsidRDefault="00BE620D" w:rsidP="00BE620D">
      <w:pPr>
        <w:spacing w:after="0" w:line="240" w:lineRule="auto"/>
        <w:ind w:firstLine="840"/>
        <w:jc w:val="both"/>
        <w:rPr>
          <w:rFonts w:ascii="Arial" w:eastAsia="Times New Roman" w:hAnsi="Arial" w:cs="Arial"/>
          <w:lang w:val="es-BO"/>
        </w:rPr>
      </w:pPr>
      <w:r w:rsidRPr="0085268C">
        <w:rPr>
          <w:rFonts w:ascii="Arial" w:eastAsia="Times New Roman" w:hAnsi="Arial" w:cs="Arial"/>
          <w:lang w:val="es-BO"/>
        </w:rPr>
        <w:t> </w:t>
      </w:r>
    </w:p>
    <w:p w:rsidR="00BE620D" w:rsidRPr="0085268C" w:rsidRDefault="00BE620D" w:rsidP="00BE620D">
      <w:pPr>
        <w:spacing w:after="0" w:line="240" w:lineRule="auto"/>
        <w:ind w:firstLine="840"/>
        <w:jc w:val="both"/>
        <w:rPr>
          <w:rFonts w:ascii="Arial" w:eastAsia="Times New Roman" w:hAnsi="Arial" w:cs="Arial"/>
          <w:lang w:val="es-BO"/>
        </w:rPr>
      </w:pPr>
      <w:r w:rsidRPr="0085268C">
        <w:rPr>
          <w:rFonts w:ascii="Arial" w:eastAsia="Times New Roman" w:hAnsi="Arial" w:cs="Arial"/>
          <w:lang w:val="es-BO"/>
        </w:rPr>
        <w:t xml:space="preserve">Es dado en el Departamento de </w:t>
      </w:r>
      <w:r w:rsidR="006B3E2F">
        <w:rPr>
          <w:rFonts w:ascii="Arial" w:eastAsia="Times New Roman" w:hAnsi="Arial" w:cs="Arial"/>
          <w:lang w:val="es-BO"/>
        </w:rPr>
        <w:t>La Paz, a los quince (15) días</w:t>
      </w:r>
      <w:r w:rsidRPr="0085268C">
        <w:rPr>
          <w:rFonts w:ascii="Arial" w:eastAsia="Times New Roman" w:hAnsi="Arial" w:cs="Arial"/>
          <w:lang w:val="es-BO"/>
        </w:rPr>
        <w:t xml:space="preserve"> del mes de </w:t>
      </w:r>
      <w:r w:rsidR="006B3E2F">
        <w:rPr>
          <w:rFonts w:ascii="Arial" w:eastAsia="Times New Roman" w:hAnsi="Arial" w:cs="Arial"/>
          <w:lang w:val="es-BO"/>
        </w:rPr>
        <w:t>febrero de dos mil diecisiete años.</w:t>
      </w:r>
    </w:p>
    <w:p w:rsidR="00BE620D" w:rsidRPr="0085268C" w:rsidRDefault="00BE620D" w:rsidP="00BE620D">
      <w:pPr>
        <w:spacing w:after="0" w:line="240" w:lineRule="auto"/>
        <w:ind w:firstLine="840"/>
        <w:jc w:val="both"/>
        <w:rPr>
          <w:rFonts w:ascii="Arial" w:eastAsia="Times New Roman" w:hAnsi="Arial" w:cs="Arial"/>
          <w:lang w:val="es-BO"/>
        </w:rPr>
      </w:pPr>
      <w:r w:rsidRPr="0085268C">
        <w:rPr>
          <w:rFonts w:ascii="Arial" w:eastAsia="Times New Roman" w:hAnsi="Arial" w:cs="Arial"/>
          <w:lang w:val="es-BO"/>
        </w:rPr>
        <w:t> </w:t>
      </w:r>
    </w:p>
    <w:p w:rsidR="00BE620D" w:rsidRDefault="00BE620D" w:rsidP="00BE620D">
      <w:pPr>
        <w:spacing w:after="0" w:line="240" w:lineRule="auto"/>
        <w:ind w:firstLine="700"/>
        <w:jc w:val="both"/>
        <w:rPr>
          <w:rFonts w:ascii="Arial" w:eastAsia="Times New Roman" w:hAnsi="Arial" w:cs="Arial"/>
          <w:b/>
          <w:bCs/>
          <w:lang w:val="es-BO"/>
        </w:rPr>
      </w:pPr>
    </w:p>
    <w:p w:rsidR="006B3E2F" w:rsidRPr="0085268C" w:rsidRDefault="006B3E2F" w:rsidP="00BE620D">
      <w:pPr>
        <w:spacing w:after="0" w:line="240" w:lineRule="auto"/>
        <w:ind w:firstLine="700"/>
        <w:jc w:val="both"/>
        <w:rPr>
          <w:rFonts w:ascii="Arial" w:eastAsia="Times New Roman" w:hAnsi="Arial" w:cs="Arial"/>
          <w:b/>
          <w:bCs/>
          <w:lang w:val="es-BO"/>
        </w:rPr>
      </w:pPr>
    </w:p>
    <w:p w:rsidR="00BE620D" w:rsidRPr="0085268C" w:rsidRDefault="00BE620D" w:rsidP="00BE620D">
      <w:pPr>
        <w:spacing w:after="0" w:line="240" w:lineRule="auto"/>
        <w:ind w:firstLine="700"/>
        <w:jc w:val="both"/>
        <w:rPr>
          <w:rFonts w:ascii="Arial" w:eastAsia="Times New Roman" w:hAnsi="Arial" w:cs="Arial"/>
          <w:lang w:val="es-BO"/>
        </w:rPr>
      </w:pPr>
      <w:r w:rsidRPr="0085268C">
        <w:rPr>
          <w:rFonts w:ascii="Arial" w:eastAsia="Times New Roman" w:hAnsi="Arial" w:cs="Arial"/>
          <w:b/>
          <w:bCs/>
          <w:lang w:val="es-BO"/>
        </w:rPr>
        <w:t>FDO. EVO MORALES AYMA……..</w:t>
      </w:r>
    </w:p>
    <w:p w:rsidR="00BE620D" w:rsidRPr="005D0AE8" w:rsidRDefault="00BE620D" w:rsidP="00BE620D">
      <w:pPr>
        <w:tabs>
          <w:tab w:val="left" w:pos="6000"/>
        </w:tabs>
        <w:spacing w:after="0" w:line="240" w:lineRule="auto"/>
        <w:rPr>
          <w:rFonts w:ascii="Arial" w:hAnsi="Arial" w:cs="Arial"/>
          <w:sz w:val="24"/>
          <w:szCs w:val="24"/>
          <w:lang w:val="es-BO"/>
        </w:rPr>
      </w:pPr>
      <w:r w:rsidRPr="005D0AE8">
        <w:rPr>
          <w:rFonts w:ascii="Arial" w:hAnsi="Arial" w:cs="Arial"/>
          <w:sz w:val="24"/>
          <w:szCs w:val="24"/>
          <w:lang w:val="es-BO"/>
        </w:rPr>
        <w:tab/>
      </w:r>
    </w:p>
    <w:p w:rsidR="00BE620D" w:rsidRDefault="00BE620D" w:rsidP="003863ED">
      <w:pPr>
        <w:spacing w:after="0" w:line="240" w:lineRule="auto"/>
        <w:jc w:val="center"/>
        <w:rPr>
          <w:rFonts w:ascii="Times New Roman" w:hAnsi="Times New Roman" w:cs="Times New Roman"/>
          <w:b/>
          <w:sz w:val="24"/>
          <w:szCs w:val="24"/>
          <w:lang w:val="es-BO"/>
        </w:rPr>
      </w:pPr>
    </w:p>
    <w:p w:rsidR="003863ED" w:rsidRPr="006B3E2F" w:rsidRDefault="003863ED" w:rsidP="003863ED">
      <w:pPr>
        <w:spacing w:after="0" w:line="240" w:lineRule="auto"/>
        <w:jc w:val="center"/>
        <w:rPr>
          <w:rFonts w:ascii="Arial" w:hAnsi="Arial" w:cs="Arial"/>
          <w:b/>
          <w:sz w:val="24"/>
          <w:szCs w:val="24"/>
          <w:lang w:val="es-BO"/>
        </w:rPr>
      </w:pPr>
      <w:r w:rsidRPr="006B3E2F">
        <w:rPr>
          <w:rFonts w:ascii="Arial" w:hAnsi="Arial" w:cs="Arial"/>
          <w:b/>
          <w:sz w:val="24"/>
          <w:szCs w:val="24"/>
          <w:lang w:val="es-BO"/>
        </w:rPr>
        <w:t>ANEXO  2</w:t>
      </w:r>
    </w:p>
    <w:p w:rsidR="003863ED" w:rsidRPr="006B3E2F" w:rsidRDefault="003863ED" w:rsidP="003863ED">
      <w:pPr>
        <w:spacing w:after="0" w:line="240" w:lineRule="auto"/>
        <w:jc w:val="center"/>
        <w:rPr>
          <w:rFonts w:ascii="Arial" w:hAnsi="Arial" w:cs="Arial"/>
          <w:b/>
          <w:sz w:val="24"/>
          <w:szCs w:val="24"/>
          <w:lang w:val="es-BO"/>
        </w:rPr>
      </w:pPr>
    </w:p>
    <w:p w:rsidR="003863ED" w:rsidRPr="006B3E2F" w:rsidRDefault="00B86694" w:rsidP="003863ED">
      <w:pPr>
        <w:spacing w:after="0" w:line="240" w:lineRule="auto"/>
        <w:jc w:val="center"/>
        <w:rPr>
          <w:rFonts w:ascii="Arial" w:hAnsi="Arial" w:cs="Arial"/>
          <w:b/>
          <w:sz w:val="24"/>
          <w:szCs w:val="24"/>
          <w:lang w:val="es-BO"/>
        </w:rPr>
      </w:pPr>
      <w:r w:rsidRPr="006B3E2F">
        <w:rPr>
          <w:rFonts w:ascii="Arial" w:hAnsi="Arial" w:cs="Arial"/>
          <w:b/>
          <w:sz w:val="24"/>
          <w:szCs w:val="24"/>
          <w:lang w:val="es-BO"/>
        </w:rPr>
        <w:t>ANÁLISIS DE LOS RECURSOS DE IDH PERCIBIDOS POR LAS UNIVERSIDADES</w:t>
      </w:r>
    </w:p>
    <w:p w:rsidR="003863ED" w:rsidRPr="006B3E2F" w:rsidRDefault="003863ED" w:rsidP="003863ED">
      <w:pPr>
        <w:spacing w:after="0" w:line="240" w:lineRule="auto"/>
        <w:jc w:val="both"/>
        <w:rPr>
          <w:rFonts w:ascii="Arial" w:hAnsi="Arial" w:cs="Arial"/>
          <w:sz w:val="24"/>
          <w:szCs w:val="24"/>
          <w:lang w:val="es-BO"/>
        </w:rPr>
      </w:pPr>
    </w:p>
    <w:p w:rsidR="00F74CE3" w:rsidRPr="006B3E2F" w:rsidRDefault="00F74CE3"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En Impuesto Directo a los Hidrocarburos (IDH), son recursos que las universidades públicas reciben desde el año 2006. Estos recursos dependen del volumen de producción de petróleo y gas, como de los precios internacionales de estos energéticos.</w:t>
      </w:r>
    </w:p>
    <w:p w:rsidR="00F74CE3" w:rsidRPr="006B3E2F" w:rsidRDefault="00F74CE3" w:rsidP="003863ED">
      <w:pPr>
        <w:spacing w:after="0" w:line="240" w:lineRule="auto"/>
        <w:jc w:val="both"/>
        <w:rPr>
          <w:rFonts w:ascii="Arial" w:hAnsi="Arial" w:cs="Arial"/>
          <w:sz w:val="24"/>
          <w:szCs w:val="24"/>
          <w:lang w:val="es-BO"/>
        </w:rPr>
      </w:pPr>
    </w:p>
    <w:p w:rsidR="00F74CE3" w:rsidRPr="006B3E2F" w:rsidRDefault="00F74CE3"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En consecuencia, los recursos IDH percibidos por las universidades varían año a año, aspecto que requiere de un análisis previo para realizar las proyecciones en el periodo 2017-2021.</w:t>
      </w:r>
    </w:p>
    <w:p w:rsidR="00F74CE3" w:rsidRPr="006B3E2F" w:rsidRDefault="00F74CE3" w:rsidP="003863ED">
      <w:pPr>
        <w:spacing w:after="0" w:line="240" w:lineRule="auto"/>
        <w:jc w:val="both"/>
        <w:rPr>
          <w:rFonts w:ascii="Arial" w:hAnsi="Arial" w:cs="Arial"/>
          <w:sz w:val="24"/>
          <w:szCs w:val="24"/>
          <w:lang w:val="es-BO"/>
        </w:rPr>
      </w:pPr>
    </w:p>
    <w:p w:rsidR="00EE7B79" w:rsidRPr="006B3E2F" w:rsidRDefault="00EE7B79" w:rsidP="003863ED">
      <w:pPr>
        <w:spacing w:after="0" w:line="240" w:lineRule="auto"/>
        <w:jc w:val="both"/>
        <w:rPr>
          <w:rFonts w:ascii="Arial" w:hAnsi="Arial" w:cs="Arial"/>
          <w:b/>
          <w:sz w:val="24"/>
          <w:szCs w:val="24"/>
          <w:lang w:val="es-BO"/>
        </w:rPr>
      </w:pPr>
      <w:r w:rsidRPr="006B3E2F">
        <w:rPr>
          <w:rFonts w:ascii="Arial" w:hAnsi="Arial" w:cs="Arial"/>
          <w:b/>
          <w:sz w:val="24"/>
          <w:szCs w:val="24"/>
          <w:lang w:val="es-BO"/>
        </w:rPr>
        <w:t>Marco normativo que regulan el Impuesto Directo a los Hidrocarburos (IDH)</w:t>
      </w:r>
    </w:p>
    <w:p w:rsidR="00EE7B79" w:rsidRPr="006B3E2F" w:rsidRDefault="00EE7B79" w:rsidP="003863ED">
      <w:pPr>
        <w:spacing w:after="0" w:line="240" w:lineRule="auto"/>
        <w:jc w:val="both"/>
        <w:rPr>
          <w:rFonts w:ascii="Arial" w:hAnsi="Arial" w:cs="Arial"/>
          <w:sz w:val="24"/>
          <w:szCs w:val="24"/>
          <w:lang w:val="es-BO"/>
        </w:rPr>
      </w:pPr>
    </w:p>
    <w:p w:rsidR="00B15B01" w:rsidRPr="006B3E2F" w:rsidRDefault="00B15B01"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En el Cuadro A2.1 se presenta el detalle del marco normativo que regula los recursos del IDH.</w:t>
      </w:r>
    </w:p>
    <w:p w:rsidR="00B15B01" w:rsidRPr="006B3E2F" w:rsidRDefault="00B15B01" w:rsidP="003863ED">
      <w:pPr>
        <w:spacing w:after="0" w:line="240" w:lineRule="auto"/>
        <w:jc w:val="both"/>
        <w:rPr>
          <w:rFonts w:ascii="Arial" w:hAnsi="Arial" w:cs="Arial"/>
          <w:sz w:val="24"/>
          <w:szCs w:val="24"/>
          <w:lang w:val="es-BO"/>
        </w:rPr>
      </w:pPr>
    </w:p>
    <w:p w:rsidR="00B15B01" w:rsidRDefault="00B15B01" w:rsidP="00B15B01">
      <w:pPr>
        <w:spacing w:after="0" w:line="240" w:lineRule="auto"/>
        <w:jc w:val="center"/>
        <w:rPr>
          <w:rFonts w:ascii="Times New Roman" w:hAnsi="Times New Roman" w:cs="Times New Roman"/>
          <w:b/>
          <w:sz w:val="24"/>
          <w:szCs w:val="24"/>
          <w:lang w:val="es-BO"/>
        </w:rPr>
      </w:pPr>
      <w:r w:rsidRPr="00B15B01">
        <w:rPr>
          <w:rFonts w:ascii="Times New Roman" w:hAnsi="Times New Roman" w:cs="Times New Roman"/>
          <w:b/>
          <w:sz w:val="24"/>
          <w:szCs w:val="24"/>
          <w:lang w:val="es-BO"/>
        </w:rPr>
        <w:t>Cuadro A2.1</w:t>
      </w:r>
    </w:p>
    <w:p w:rsidR="00B15B01" w:rsidRPr="00B15B01" w:rsidRDefault="00B15B01" w:rsidP="00B15B01">
      <w:pPr>
        <w:spacing w:after="0" w:line="240" w:lineRule="auto"/>
        <w:jc w:val="center"/>
        <w:rPr>
          <w:rFonts w:ascii="Times New Roman" w:hAnsi="Times New Roman" w:cs="Times New Roman"/>
          <w:b/>
          <w:sz w:val="24"/>
          <w:szCs w:val="24"/>
          <w:lang w:val="es-BO"/>
        </w:rPr>
      </w:pPr>
      <w:r>
        <w:rPr>
          <w:rFonts w:ascii="Times New Roman" w:hAnsi="Times New Roman" w:cs="Times New Roman"/>
          <w:b/>
          <w:sz w:val="24"/>
          <w:szCs w:val="24"/>
          <w:lang w:val="es-BO"/>
        </w:rPr>
        <w:t>Detalle del Marco Normativo del IDH</w:t>
      </w:r>
    </w:p>
    <w:tbl>
      <w:tblPr>
        <w:tblStyle w:val="Tablaconcuadrcula"/>
        <w:tblW w:w="0" w:type="auto"/>
        <w:tblLook w:val="04A0" w:firstRow="1" w:lastRow="0" w:firstColumn="1" w:lastColumn="0" w:noHBand="0" w:noVBand="1"/>
      </w:tblPr>
      <w:tblGrid>
        <w:gridCol w:w="562"/>
        <w:gridCol w:w="1560"/>
        <w:gridCol w:w="1275"/>
        <w:gridCol w:w="1276"/>
        <w:gridCol w:w="4531"/>
      </w:tblGrid>
      <w:tr w:rsidR="00EE7B79" w:rsidTr="00B83495">
        <w:tc>
          <w:tcPr>
            <w:tcW w:w="562" w:type="dxa"/>
          </w:tcPr>
          <w:p w:rsidR="00EE7B79" w:rsidRPr="00EE7B79" w:rsidRDefault="00EE7B79" w:rsidP="00EE7B79">
            <w:pPr>
              <w:jc w:val="center"/>
              <w:rPr>
                <w:rFonts w:ascii="Times New Roman" w:hAnsi="Times New Roman" w:cs="Times New Roman"/>
                <w:b/>
                <w:sz w:val="20"/>
                <w:szCs w:val="20"/>
                <w:lang w:val="es-BO"/>
              </w:rPr>
            </w:pPr>
            <w:r w:rsidRPr="00EE7B79">
              <w:rPr>
                <w:rFonts w:ascii="Times New Roman" w:hAnsi="Times New Roman" w:cs="Times New Roman"/>
                <w:b/>
                <w:sz w:val="20"/>
                <w:szCs w:val="20"/>
                <w:lang w:val="es-BO"/>
              </w:rPr>
              <w:t>No</w:t>
            </w:r>
          </w:p>
        </w:tc>
        <w:tc>
          <w:tcPr>
            <w:tcW w:w="1560" w:type="dxa"/>
          </w:tcPr>
          <w:p w:rsidR="00EE7B79" w:rsidRPr="00EE7B79" w:rsidRDefault="00EE7B79" w:rsidP="00EE7B79">
            <w:pPr>
              <w:jc w:val="center"/>
              <w:rPr>
                <w:rFonts w:ascii="Times New Roman" w:hAnsi="Times New Roman" w:cs="Times New Roman"/>
                <w:b/>
                <w:sz w:val="20"/>
                <w:szCs w:val="20"/>
                <w:lang w:val="es-BO"/>
              </w:rPr>
            </w:pPr>
            <w:r w:rsidRPr="00EE7B79">
              <w:rPr>
                <w:rFonts w:ascii="Times New Roman" w:hAnsi="Times New Roman" w:cs="Times New Roman"/>
                <w:b/>
                <w:sz w:val="20"/>
                <w:szCs w:val="20"/>
                <w:lang w:val="es-BO"/>
              </w:rPr>
              <w:t>Decreto Supremo/Ley</w:t>
            </w:r>
          </w:p>
        </w:tc>
        <w:tc>
          <w:tcPr>
            <w:tcW w:w="1275" w:type="dxa"/>
          </w:tcPr>
          <w:p w:rsidR="00EE7B79" w:rsidRPr="00EE7B79" w:rsidRDefault="00EE7B79" w:rsidP="00EE7B79">
            <w:pPr>
              <w:jc w:val="center"/>
              <w:rPr>
                <w:rFonts w:ascii="Times New Roman" w:hAnsi="Times New Roman" w:cs="Times New Roman"/>
                <w:b/>
                <w:sz w:val="20"/>
                <w:szCs w:val="20"/>
                <w:lang w:val="es-BO"/>
              </w:rPr>
            </w:pPr>
            <w:r w:rsidRPr="00EE7B79">
              <w:rPr>
                <w:rFonts w:ascii="Times New Roman" w:hAnsi="Times New Roman" w:cs="Times New Roman"/>
                <w:b/>
                <w:sz w:val="20"/>
                <w:szCs w:val="20"/>
                <w:lang w:val="es-BO"/>
              </w:rPr>
              <w:t>Fecha de Disposición</w:t>
            </w:r>
          </w:p>
        </w:tc>
        <w:tc>
          <w:tcPr>
            <w:tcW w:w="1276" w:type="dxa"/>
          </w:tcPr>
          <w:p w:rsidR="00EE7B79" w:rsidRPr="00EE7B79" w:rsidRDefault="00EE7B79" w:rsidP="00EE7B79">
            <w:pPr>
              <w:jc w:val="center"/>
              <w:rPr>
                <w:rFonts w:ascii="Times New Roman" w:hAnsi="Times New Roman" w:cs="Times New Roman"/>
                <w:b/>
                <w:sz w:val="20"/>
                <w:szCs w:val="20"/>
                <w:lang w:val="es-BO"/>
              </w:rPr>
            </w:pPr>
            <w:r w:rsidRPr="00EE7B79">
              <w:rPr>
                <w:rFonts w:ascii="Times New Roman" w:hAnsi="Times New Roman" w:cs="Times New Roman"/>
                <w:b/>
                <w:sz w:val="20"/>
                <w:szCs w:val="20"/>
                <w:lang w:val="es-BO"/>
              </w:rPr>
              <w:t>Tipo de Ley o Decreto Supremo</w:t>
            </w:r>
          </w:p>
        </w:tc>
        <w:tc>
          <w:tcPr>
            <w:tcW w:w="4531" w:type="dxa"/>
          </w:tcPr>
          <w:p w:rsidR="00EE7B79" w:rsidRPr="00EE7B79" w:rsidRDefault="00EE7B79" w:rsidP="00EE7B79">
            <w:pPr>
              <w:jc w:val="center"/>
              <w:rPr>
                <w:rFonts w:ascii="Times New Roman" w:hAnsi="Times New Roman" w:cs="Times New Roman"/>
                <w:b/>
                <w:sz w:val="20"/>
                <w:szCs w:val="20"/>
                <w:lang w:val="es-BO"/>
              </w:rPr>
            </w:pPr>
            <w:r w:rsidRPr="00EE7B79">
              <w:rPr>
                <w:rFonts w:ascii="Times New Roman" w:hAnsi="Times New Roman" w:cs="Times New Roman"/>
                <w:b/>
                <w:sz w:val="20"/>
                <w:szCs w:val="20"/>
                <w:lang w:val="es-BO"/>
              </w:rPr>
              <w:t>Disposición</w:t>
            </w:r>
          </w:p>
        </w:tc>
      </w:tr>
      <w:tr w:rsidR="00EE7B79" w:rsidRPr="00B80977" w:rsidTr="00B83495">
        <w:tc>
          <w:tcPr>
            <w:tcW w:w="562" w:type="dxa"/>
          </w:tcPr>
          <w:p w:rsidR="00EE7B79" w:rsidRPr="00EE7B79" w:rsidRDefault="00EE7B79" w:rsidP="003863ED">
            <w:pPr>
              <w:jc w:val="both"/>
              <w:rPr>
                <w:rFonts w:ascii="Times New Roman" w:hAnsi="Times New Roman" w:cs="Times New Roman"/>
                <w:sz w:val="20"/>
                <w:szCs w:val="20"/>
                <w:lang w:val="es-BO"/>
              </w:rPr>
            </w:pPr>
            <w:r w:rsidRPr="00EE7B79">
              <w:rPr>
                <w:rFonts w:ascii="Times New Roman" w:hAnsi="Times New Roman" w:cs="Times New Roman"/>
                <w:sz w:val="20"/>
                <w:szCs w:val="20"/>
                <w:lang w:val="es-BO"/>
              </w:rPr>
              <w:t>1</w:t>
            </w:r>
          </w:p>
        </w:tc>
        <w:tc>
          <w:tcPr>
            <w:tcW w:w="1560" w:type="dxa"/>
          </w:tcPr>
          <w:p w:rsidR="00EE7B79" w:rsidRPr="00336EB4" w:rsidRDefault="00EE7B79" w:rsidP="00EE7B79">
            <w:pPr>
              <w:jc w:val="both"/>
              <w:rPr>
                <w:rFonts w:ascii="Arial Narrow" w:hAnsi="Arial Narrow" w:cs="Times New Roman"/>
                <w:sz w:val="20"/>
                <w:szCs w:val="20"/>
                <w:lang w:val="es-BO"/>
              </w:rPr>
            </w:pPr>
            <w:r w:rsidRPr="00336EB4">
              <w:rPr>
                <w:rFonts w:ascii="Arial Narrow" w:hAnsi="Arial Narrow"/>
                <w:sz w:val="20"/>
                <w:szCs w:val="20"/>
                <w:lang w:val="es-BO"/>
              </w:rPr>
              <w:t xml:space="preserve">Ley N˚ 3058 </w:t>
            </w:r>
          </w:p>
        </w:tc>
        <w:tc>
          <w:tcPr>
            <w:tcW w:w="1275" w:type="dxa"/>
          </w:tcPr>
          <w:p w:rsidR="00EE7B79" w:rsidRPr="00336EB4" w:rsidRDefault="00EE7B79" w:rsidP="003863ED">
            <w:pPr>
              <w:jc w:val="both"/>
              <w:rPr>
                <w:rFonts w:ascii="Arial Narrow" w:hAnsi="Arial Narrow" w:cs="Times New Roman"/>
                <w:sz w:val="20"/>
                <w:szCs w:val="20"/>
                <w:lang w:val="es-BO"/>
              </w:rPr>
            </w:pPr>
            <w:r w:rsidRPr="00336EB4">
              <w:rPr>
                <w:rFonts w:ascii="Arial Narrow" w:hAnsi="Arial Narrow"/>
                <w:sz w:val="20"/>
                <w:szCs w:val="20"/>
                <w:lang w:val="es-BO"/>
              </w:rPr>
              <w:t>17 de mayo de 2005</w:t>
            </w:r>
          </w:p>
        </w:tc>
        <w:tc>
          <w:tcPr>
            <w:tcW w:w="1276" w:type="dxa"/>
          </w:tcPr>
          <w:p w:rsidR="00EE7B79" w:rsidRPr="00336EB4" w:rsidRDefault="00EE7B79" w:rsidP="003863ED">
            <w:pPr>
              <w:jc w:val="both"/>
              <w:rPr>
                <w:rFonts w:ascii="Arial Narrow" w:hAnsi="Arial Narrow" w:cs="Times New Roman"/>
                <w:sz w:val="20"/>
                <w:szCs w:val="20"/>
                <w:lang w:val="es-BO"/>
              </w:rPr>
            </w:pPr>
            <w:r w:rsidRPr="00336EB4">
              <w:rPr>
                <w:rFonts w:ascii="Arial Narrow" w:hAnsi="Arial Narrow"/>
                <w:sz w:val="20"/>
                <w:szCs w:val="20"/>
                <w:lang w:val="es-BO"/>
              </w:rPr>
              <w:t>Régimen transitorio</w:t>
            </w:r>
          </w:p>
        </w:tc>
        <w:tc>
          <w:tcPr>
            <w:tcW w:w="4531" w:type="dxa"/>
          </w:tcPr>
          <w:p w:rsidR="00EE7B79" w:rsidRPr="00336EB4" w:rsidRDefault="00EE7B79" w:rsidP="003863ED">
            <w:pPr>
              <w:jc w:val="both"/>
              <w:rPr>
                <w:rFonts w:ascii="Arial Narrow" w:hAnsi="Arial Narrow" w:cs="Times New Roman"/>
                <w:sz w:val="20"/>
                <w:szCs w:val="20"/>
                <w:lang w:val="es-BO"/>
              </w:rPr>
            </w:pPr>
            <w:r w:rsidRPr="00336EB4">
              <w:rPr>
                <w:rFonts w:ascii="Arial Narrow" w:hAnsi="Arial Narrow"/>
                <w:sz w:val="20"/>
                <w:szCs w:val="20"/>
                <w:lang w:val="es-BO"/>
              </w:rPr>
              <w:t>Régimen de Regalías, pat</w:t>
            </w:r>
            <w:r w:rsidR="00B55C7E" w:rsidRPr="00336EB4">
              <w:rPr>
                <w:rFonts w:ascii="Arial Narrow" w:hAnsi="Arial Narrow"/>
                <w:sz w:val="20"/>
                <w:szCs w:val="20"/>
                <w:lang w:val="es-BO"/>
              </w:rPr>
              <w:t>entes y participaciones, se creó</w:t>
            </w:r>
            <w:r w:rsidRPr="00336EB4">
              <w:rPr>
                <w:rFonts w:ascii="Arial Narrow" w:hAnsi="Arial Narrow"/>
                <w:sz w:val="20"/>
                <w:szCs w:val="20"/>
                <w:lang w:val="es-BO"/>
              </w:rPr>
              <w:t xml:space="preserve"> el impuesto Directo a los Hidrocarburos</w:t>
            </w:r>
          </w:p>
        </w:tc>
      </w:tr>
      <w:tr w:rsidR="00EE7B79" w:rsidRPr="00B80977" w:rsidTr="00B83495">
        <w:tc>
          <w:tcPr>
            <w:tcW w:w="562" w:type="dxa"/>
          </w:tcPr>
          <w:p w:rsidR="00EE7B79" w:rsidRPr="00EE7B79" w:rsidRDefault="00EE7B79" w:rsidP="003863ED">
            <w:pPr>
              <w:jc w:val="both"/>
              <w:rPr>
                <w:rFonts w:ascii="Times New Roman" w:hAnsi="Times New Roman" w:cs="Times New Roman"/>
                <w:sz w:val="20"/>
                <w:szCs w:val="20"/>
                <w:lang w:val="es-BO"/>
              </w:rPr>
            </w:pPr>
            <w:r w:rsidRPr="00EE7B79">
              <w:rPr>
                <w:rFonts w:ascii="Times New Roman" w:hAnsi="Times New Roman" w:cs="Times New Roman"/>
                <w:sz w:val="20"/>
                <w:szCs w:val="20"/>
                <w:lang w:val="es-BO"/>
              </w:rPr>
              <w:t>2</w:t>
            </w:r>
          </w:p>
        </w:tc>
        <w:tc>
          <w:tcPr>
            <w:tcW w:w="1560" w:type="dxa"/>
          </w:tcPr>
          <w:p w:rsidR="00EE7B79" w:rsidRPr="00336EB4" w:rsidRDefault="00B55C7E" w:rsidP="00B55C7E">
            <w:pPr>
              <w:jc w:val="both"/>
              <w:rPr>
                <w:rFonts w:ascii="Arial Narrow" w:hAnsi="Arial Narrow" w:cs="Times New Roman"/>
                <w:sz w:val="20"/>
                <w:szCs w:val="20"/>
                <w:lang w:val="es-BO"/>
              </w:rPr>
            </w:pPr>
            <w:r w:rsidRPr="00336EB4">
              <w:rPr>
                <w:rFonts w:ascii="Arial Narrow" w:hAnsi="Arial Narrow"/>
                <w:sz w:val="20"/>
                <w:szCs w:val="20"/>
                <w:lang w:val="es-BO"/>
              </w:rPr>
              <w:t xml:space="preserve">Decreto Supremo N˚ 28223 </w:t>
            </w:r>
          </w:p>
        </w:tc>
        <w:tc>
          <w:tcPr>
            <w:tcW w:w="1275" w:type="dxa"/>
          </w:tcPr>
          <w:p w:rsidR="00EE7B79" w:rsidRPr="00336EB4" w:rsidRDefault="00B55C7E" w:rsidP="00B55C7E">
            <w:pPr>
              <w:jc w:val="both"/>
              <w:rPr>
                <w:rFonts w:ascii="Arial Narrow" w:hAnsi="Arial Narrow" w:cs="Times New Roman"/>
                <w:sz w:val="20"/>
                <w:szCs w:val="20"/>
                <w:lang w:val="es-BO"/>
              </w:rPr>
            </w:pPr>
            <w:r w:rsidRPr="00336EB4">
              <w:rPr>
                <w:rFonts w:ascii="Arial Narrow" w:hAnsi="Arial Narrow"/>
                <w:sz w:val="20"/>
                <w:szCs w:val="20"/>
                <w:lang w:val="es-BO"/>
              </w:rPr>
              <w:t xml:space="preserve">27 de Junio de 2005 </w:t>
            </w:r>
          </w:p>
        </w:tc>
        <w:tc>
          <w:tcPr>
            <w:tcW w:w="1276" w:type="dxa"/>
          </w:tcPr>
          <w:p w:rsidR="00EE7B79" w:rsidRPr="00336EB4" w:rsidRDefault="00B55C7E" w:rsidP="003863ED">
            <w:pPr>
              <w:jc w:val="both"/>
              <w:rPr>
                <w:rFonts w:ascii="Arial Narrow" w:hAnsi="Arial Narrow" w:cs="Times New Roman"/>
                <w:sz w:val="20"/>
                <w:szCs w:val="20"/>
                <w:lang w:val="es-BO"/>
              </w:rPr>
            </w:pPr>
            <w:r w:rsidRPr="00336EB4">
              <w:rPr>
                <w:rFonts w:ascii="Arial Narrow" w:hAnsi="Arial Narrow"/>
                <w:sz w:val="20"/>
                <w:szCs w:val="20"/>
                <w:lang w:val="es-BO"/>
              </w:rPr>
              <w:t>Reglamento</w:t>
            </w:r>
          </w:p>
        </w:tc>
        <w:tc>
          <w:tcPr>
            <w:tcW w:w="4531" w:type="dxa"/>
          </w:tcPr>
          <w:p w:rsidR="00EE7B79" w:rsidRPr="00336EB4" w:rsidRDefault="00B55C7E" w:rsidP="003863ED">
            <w:pPr>
              <w:jc w:val="both"/>
              <w:rPr>
                <w:rFonts w:ascii="Arial Narrow" w:hAnsi="Arial Narrow" w:cs="Times New Roman"/>
                <w:sz w:val="20"/>
                <w:szCs w:val="20"/>
                <w:lang w:val="es-BO"/>
              </w:rPr>
            </w:pPr>
            <w:r w:rsidRPr="00336EB4">
              <w:rPr>
                <w:rFonts w:ascii="Arial Narrow" w:hAnsi="Arial Narrow"/>
                <w:sz w:val="20"/>
                <w:szCs w:val="20"/>
                <w:lang w:val="es-BO"/>
              </w:rPr>
              <w:t>Reglamenta la aplicación del Impuesto Directo a los Hidrocarburos (IDH)</w:t>
            </w:r>
          </w:p>
        </w:tc>
      </w:tr>
      <w:tr w:rsidR="00EE7B79" w:rsidRPr="00B80977" w:rsidTr="00B83495">
        <w:tc>
          <w:tcPr>
            <w:tcW w:w="562" w:type="dxa"/>
          </w:tcPr>
          <w:p w:rsidR="00EE7B79" w:rsidRPr="00EE7B79" w:rsidRDefault="00EE7B79" w:rsidP="003863ED">
            <w:pPr>
              <w:jc w:val="both"/>
              <w:rPr>
                <w:rFonts w:ascii="Times New Roman" w:hAnsi="Times New Roman" w:cs="Times New Roman"/>
                <w:sz w:val="20"/>
                <w:szCs w:val="20"/>
                <w:lang w:val="es-BO"/>
              </w:rPr>
            </w:pPr>
            <w:r w:rsidRPr="00EE7B79">
              <w:rPr>
                <w:rFonts w:ascii="Times New Roman" w:hAnsi="Times New Roman" w:cs="Times New Roman"/>
                <w:sz w:val="20"/>
                <w:szCs w:val="20"/>
                <w:lang w:val="es-BO"/>
              </w:rPr>
              <w:t>3</w:t>
            </w:r>
          </w:p>
        </w:tc>
        <w:tc>
          <w:tcPr>
            <w:tcW w:w="1560" w:type="dxa"/>
          </w:tcPr>
          <w:p w:rsidR="00EE7B79" w:rsidRPr="00336EB4" w:rsidRDefault="00B55C7E" w:rsidP="00B55C7E">
            <w:pPr>
              <w:jc w:val="both"/>
              <w:rPr>
                <w:rFonts w:ascii="Arial Narrow" w:hAnsi="Arial Narrow" w:cs="Times New Roman"/>
                <w:sz w:val="20"/>
                <w:szCs w:val="20"/>
                <w:lang w:val="es-BO"/>
              </w:rPr>
            </w:pPr>
            <w:r w:rsidRPr="00336EB4">
              <w:rPr>
                <w:rFonts w:ascii="Arial Narrow" w:hAnsi="Arial Narrow"/>
                <w:sz w:val="20"/>
                <w:szCs w:val="20"/>
                <w:lang w:val="es-BO"/>
              </w:rPr>
              <w:t>Decreto Supremo N˚ 28333</w:t>
            </w:r>
          </w:p>
        </w:tc>
        <w:tc>
          <w:tcPr>
            <w:tcW w:w="1275" w:type="dxa"/>
          </w:tcPr>
          <w:p w:rsidR="00EE7B79" w:rsidRPr="00336EB4" w:rsidRDefault="00B55C7E" w:rsidP="003863ED">
            <w:pPr>
              <w:jc w:val="both"/>
              <w:rPr>
                <w:rFonts w:ascii="Arial Narrow" w:hAnsi="Arial Narrow" w:cs="Times New Roman"/>
                <w:sz w:val="20"/>
                <w:szCs w:val="20"/>
                <w:lang w:val="es-BO"/>
              </w:rPr>
            </w:pPr>
            <w:r w:rsidRPr="00336EB4">
              <w:rPr>
                <w:rFonts w:ascii="Arial Narrow" w:hAnsi="Arial Narrow"/>
                <w:sz w:val="20"/>
                <w:szCs w:val="20"/>
                <w:lang w:val="es-BO"/>
              </w:rPr>
              <w:t>12 de septiembre de 2005</w:t>
            </w:r>
          </w:p>
        </w:tc>
        <w:tc>
          <w:tcPr>
            <w:tcW w:w="1276" w:type="dxa"/>
          </w:tcPr>
          <w:p w:rsidR="00EE7B79" w:rsidRPr="00336EB4" w:rsidRDefault="00B55C7E" w:rsidP="003863ED">
            <w:pPr>
              <w:jc w:val="both"/>
              <w:rPr>
                <w:rFonts w:ascii="Arial Narrow" w:hAnsi="Arial Narrow" w:cs="Times New Roman"/>
                <w:sz w:val="20"/>
                <w:szCs w:val="20"/>
                <w:lang w:val="es-BO"/>
              </w:rPr>
            </w:pPr>
            <w:r w:rsidRPr="00336EB4">
              <w:rPr>
                <w:rFonts w:ascii="Arial Narrow" w:hAnsi="Arial Narrow"/>
                <w:sz w:val="20"/>
                <w:szCs w:val="20"/>
                <w:lang w:val="es-BO"/>
              </w:rPr>
              <w:t>Modificación</w:t>
            </w:r>
          </w:p>
        </w:tc>
        <w:tc>
          <w:tcPr>
            <w:tcW w:w="4531" w:type="dxa"/>
          </w:tcPr>
          <w:p w:rsidR="00EE7B79" w:rsidRPr="00336EB4" w:rsidRDefault="00B55C7E" w:rsidP="003863ED">
            <w:pPr>
              <w:jc w:val="both"/>
              <w:rPr>
                <w:rFonts w:ascii="Arial Narrow" w:hAnsi="Arial Narrow" w:cs="Times New Roman"/>
                <w:sz w:val="20"/>
                <w:szCs w:val="20"/>
                <w:lang w:val="es-BO"/>
              </w:rPr>
            </w:pPr>
            <w:r w:rsidRPr="00336EB4">
              <w:rPr>
                <w:rFonts w:ascii="Arial Narrow" w:hAnsi="Arial Narrow"/>
                <w:sz w:val="20"/>
                <w:szCs w:val="20"/>
                <w:lang w:val="es-BO"/>
              </w:rPr>
              <w:t>Modifica las formas de distribución entre Departamento Productor y uno NO productor, mediante una compensación hasta nivelar los ingresos.</w:t>
            </w:r>
          </w:p>
        </w:tc>
      </w:tr>
      <w:tr w:rsidR="00EE7B79" w:rsidRPr="00B80977" w:rsidTr="00B83495">
        <w:tc>
          <w:tcPr>
            <w:tcW w:w="562" w:type="dxa"/>
          </w:tcPr>
          <w:p w:rsidR="00EE7B79" w:rsidRPr="00EE7B79" w:rsidRDefault="00EE7B79" w:rsidP="003863ED">
            <w:pPr>
              <w:jc w:val="both"/>
              <w:rPr>
                <w:rFonts w:ascii="Times New Roman" w:hAnsi="Times New Roman" w:cs="Times New Roman"/>
                <w:sz w:val="20"/>
                <w:szCs w:val="20"/>
                <w:lang w:val="es-BO"/>
              </w:rPr>
            </w:pPr>
            <w:r w:rsidRPr="00EE7B79">
              <w:rPr>
                <w:rFonts w:ascii="Times New Roman" w:hAnsi="Times New Roman" w:cs="Times New Roman"/>
                <w:sz w:val="20"/>
                <w:szCs w:val="20"/>
                <w:lang w:val="es-BO"/>
              </w:rPr>
              <w:t>4</w:t>
            </w:r>
          </w:p>
        </w:tc>
        <w:tc>
          <w:tcPr>
            <w:tcW w:w="1560" w:type="dxa"/>
          </w:tcPr>
          <w:p w:rsidR="00EE7B79" w:rsidRPr="00336EB4" w:rsidRDefault="00B55C7E" w:rsidP="00B55C7E">
            <w:pPr>
              <w:jc w:val="both"/>
              <w:rPr>
                <w:rFonts w:ascii="Arial Narrow" w:hAnsi="Arial Narrow" w:cs="Times New Roman"/>
                <w:sz w:val="20"/>
                <w:szCs w:val="20"/>
                <w:lang w:val="es-BO"/>
              </w:rPr>
            </w:pPr>
            <w:r w:rsidRPr="00336EB4">
              <w:rPr>
                <w:rFonts w:ascii="Arial Narrow" w:hAnsi="Arial Narrow"/>
                <w:sz w:val="20"/>
                <w:szCs w:val="20"/>
                <w:lang w:val="es-BO"/>
              </w:rPr>
              <w:t xml:space="preserve">Decreto Supremo N˚ 28421 </w:t>
            </w:r>
          </w:p>
        </w:tc>
        <w:tc>
          <w:tcPr>
            <w:tcW w:w="1275" w:type="dxa"/>
          </w:tcPr>
          <w:p w:rsidR="00EE7B79" w:rsidRPr="00336EB4" w:rsidRDefault="00B55C7E" w:rsidP="003863ED">
            <w:pPr>
              <w:jc w:val="both"/>
              <w:rPr>
                <w:rFonts w:ascii="Arial Narrow" w:hAnsi="Arial Narrow" w:cs="Times New Roman"/>
                <w:sz w:val="20"/>
                <w:szCs w:val="20"/>
                <w:lang w:val="es-BO"/>
              </w:rPr>
            </w:pPr>
            <w:r w:rsidRPr="00336EB4">
              <w:rPr>
                <w:rFonts w:ascii="Arial Narrow" w:hAnsi="Arial Narrow"/>
                <w:sz w:val="20"/>
                <w:szCs w:val="20"/>
                <w:lang w:val="es-BO"/>
              </w:rPr>
              <w:t>21 de octubre de 2005</w:t>
            </w:r>
          </w:p>
        </w:tc>
        <w:tc>
          <w:tcPr>
            <w:tcW w:w="1276" w:type="dxa"/>
          </w:tcPr>
          <w:p w:rsidR="00EE7B79" w:rsidRPr="00336EB4" w:rsidRDefault="00B55C7E" w:rsidP="003863ED">
            <w:pPr>
              <w:jc w:val="both"/>
              <w:rPr>
                <w:rFonts w:ascii="Arial Narrow" w:hAnsi="Arial Narrow" w:cs="Times New Roman"/>
                <w:sz w:val="20"/>
                <w:szCs w:val="20"/>
                <w:lang w:val="es-BO"/>
              </w:rPr>
            </w:pPr>
            <w:r w:rsidRPr="00336EB4">
              <w:rPr>
                <w:rFonts w:ascii="Arial Narrow" w:hAnsi="Arial Narrow"/>
                <w:sz w:val="20"/>
                <w:szCs w:val="20"/>
                <w:lang w:val="es-BO"/>
              </w:rPr>
              <w:t>Modificación</w:t>
            </w:r>
          </w:p>
        </w:tc>
        <w:tc>
          <w:tcPr>
            <w:tcW w:w="4531" w:type="dxa"/>
          </w:tcPr>
          <w:p w:rsidR="00EE7B79" w:rsidRPr="00336EB4" w:rsidRDefault="00B55C7E" w:rsidP="003863ED">
            <w:pPr>
              <w:jc w:val="both"/>
              <w:rPr>
                <w:rFonts w:ascii="Arial Narrow" w:hAnsi="Arial Narrow" w:cs="Times New Roman"/>
                <w:sz w:val="20"/>
                <w:szCs w:val="20"/>
                <w:lang w:val="es-BO"/>
              </w:rPr>
            </w:pPr>
            <w:r w:rsidRPr="00336EB4">
              <w:rPr>
                <w:rFonts w:ascii="Arial Narrow" w:hAnsi="Arial Narrow"/>
                <w:sz w:val="20"/>
                <w:szCs w:val="20"/>
                <w:lang w:val="es-BO"/>
              </w:rPr>
              <w:t>Modifica la distribución del IDH de los departamentos y el TGN, así mismo la distribución para las prefecturas, universidades y municipios.</w:t>
            </w:r>
          </w:p>
        </w:tc>
      </w:tr>
      <w:tr w:rsidR="00EE7B79" w:rsidRPr="00B80977" w:rsidTr="00B83495">
        <w:tc>
          <w:tcPr>
            <w:tcW w:w="562" w:type="dxa"/>
          </w:tcPr>
          <w:p w:rsidR="00EE7B79" w:rsidRPr="00EE7B79" w:rsidRDefault="00EE7B79" w:rsidP="003863ED">
            <w:pPr>
              <w:jc w:val="both"/>
              <w:rPr>
                <w:rFonts w:ascii="Times New Roman" w:hAnsi="Times New Roman" w:cs="Times New Roman"/>
                <w:sz w:val="20"/>
                <w:szCs w:val="20"/>
                <w:lang w:val="es-BO"/>
              </w:rPr>
            </w:pPr>
            <w:r w:rsidRPr="00EE7B79">
              <w:rPr>
                <w:rFonts w:ascii="Times New Roman" w:hAnsi="Times New Roman" w:cs="Times New Roman"/>
                <w:sz w:val="20"/>
                <w:szCs w:val="20"/>
                <w:lang w:val="es-BO"/>
              </w:rPr>
              <w:t>5</w:t>
            </w:r>
          </w:p>
        </w:tc>
        <w:tc>
          <w:tcPr>
            <w:tcW w:w="1560" w:type="dxa"/>
          </w:tcPr>
          <w:p w:rsidR="00EE7B79" w:rsidRPr="00336EB4" w:rsidRDefault="00B55C7E" w:rsidP="00336EB4">
            <w:pPr>
              <w:jc w:val="both"/>
              <w:rPr>
                <w:rFonts w:ascii="Arial Narrow" w:hAnsi="Arial Narrow" w:cs="Times New Roman"/>
                <w:sz w:val="20"/>
                <w:szCs w:val="20"/>
                <w:lang w:val="es-BO"/>
              </w:rPr>
            </w:pPr>
            <w:r w:rsidRPr="00336EB4">
              <w:rPr>
                <w:rFonts w:ascii="Arial Narrow" w:hAnsi="Arial Narrow"/>
                <w:sz w:val="20"/>
                <w:szCs w:val="20"/>
                <w:lang w:val="es-BO"/>
              </w:rPr>
              <w:t>Decr</w:t>
            </w:r>
            <w:r w:rsidR="00336EB4" w:rsidRPr="00336EB4">
              <w:rPr>
                <w:rFonts w:ascii="Arial Narrow" w:hAnsi="Arial Narrow"/>
                <w:sz w:val="20"/>
                <w:szCs w:val="20"/>
                <w:lang w:val="es-BO"/>
              </w:rPr>
              <w:t>e</w:t>
            </w:r>
            <w:r w:rsidRPr="00336EB4">
              <w:rPr>
                <w:rFonts w:ascii="Arial Narrow" w:hAnsi="Arial Narrow"/>
                <w:sz w:val="20"/>
                <w:szCs w:val="20"/>
                <w:lang w:val="es-BO"/>
              </w:rPr>
              <w:t xml:space="preserve">to Supremo N˚ 29322 </w:t>
            </w:r>
          </w:p>
        </w:tc>
        <w:tc>
          <w:tcPr>
            <w:tcW w:w="1275" w:type="dxa"/>
          </w:tcPr>
          <w:p w:rsidR="00EE7B79" w:rsidRPr="00336EB4" w:rsidRDefault="00B55C7E" w:rsidP="003863ED">
            <w:pPr>
              <w:jc w:val="both"/>
              <w:rPr>
                <w:rFonts w:ascii="Arial Narrow" w:hAnsi="Arial Narrow" w:cs="Times New Roman"/>
                <w:sz w:val="20"/>
                <w:szCs w:val="20"/>
                <w:lang w:val="es-BO"/>
              </w:rPr>
            </w:pPr>
            <w:r w:rsidRPr="00336EB4">
              <w:rPr>
                <w:rFonts w:ascii="Arial Narrow" w:hAnsi="Arial Narrow"/>
                <w:sz w:val="20"/>
                <w:szCs w:val="20"/>
                <w:lang w:val="es-BO"/>
              </w:rPr>
              <w:t>24 de octubre de 2007</w:t>
            </w:r>
          </w:p>
        </w:tc>
        <w:tc>
          <w:tcPr>
            <w:tcW w:w="1276" w:type="dxa"/>
          </w:tcPr>
          <w:p w:rsidR="00EE7B79" w:rsidRPr="00336EB4" w:rsidRDefault="00B55C7E" w:rsidP="003863ED">
            <w:pPr>
              <w:jc w:val="both"/>
              <w:rPr>
                <w:rFonts w:ascii="Arial Narrow" w:hAnsi="Arial Narrow" w:cs="Times New Roman"/>
                <w:sz w:val="20"/>
                <w:szCs w:val="20"/>
                <w:lang w:val="es-BO"/>
              </w:rPr>
            </w:pPr>
            <w:r w:rsidRPr="00336EB4">
              <w:rPr>
                <w:rFonts w:ascii="Arial Narrow" w:hAnsi="Arial Narrow"/>
                <w:sz w:val="20"/>
                <w:szCs w:val="20"/>
                <w:lang w:val="es-BO"/>
              </w:rPr>
              <w:t>Modificación</w:t>
            </w:r>
          </w:p>
        </w:tc>
        <w:tc>
          <w:tcPr>
            <w:tcW w:w="4531" w:type="dxa"/>
          </w:tcPr>
          <w:p w:rsidR="00EE7B79" w:rsidRPr="00336EB4" w:rsidRDefault="00B55C7E" w:rsidP="003863ED">
            <w:pPr>
              <w:jc w:val="both"/>
              <w:rPr>
                <w:rFonts w:ascii="Arial Narrow" w:hAnsi="Arial Narrow" w:cs="Times New Roman"/>
                <w:color w:val="000000" w:themeColor="text1"/>
                <w:sz w:val="20"/>
                <w:szCs w:val="20"/>
                <w:lang w:val="es-BO"/>
              </w:rPr>
            </w:pPr>
            <w:r w:rsidRPr="00336EB4">
              <w:rPr>
                <w:rFonts w:ascii="Arial Narrow" w:hAnsi="Arial Narrow"/>
                <w:color w:val="000000" w:themeColor="text1"/>
                <w:sz w:val="20"/>
                <w:szCs w:val="20"/>
                <w:lang w:val="es-BO"/>
              </w:rPr>
              <w:t>Modifica la distribución del IDH a las prefecturas, municipios y universidades.</w:t>
            </w:r>
          </w:p>
        </w:tc>
      </w:tr>
      <w:tr w:rsidR="00336EB4" w:rsidRPr="00B80977" w:rsidTr="00B83495">
        <w:tc>
          <w:tcPr>
            <w:tcW w:w="562" w:type="dxa"/>
          </w:tcPr>
          <w:p w:rsidR="00336EB4" w:rsidRPr="00EE7B79" w:rsidRDefault="00336EB4" w:rsidP="00336EB4">
            <w:pPr>
              <w:jc w:val="both"/>
              <w:rPr>
                <w:rFonts w:ascii="Times New Roman" w:hAnsi="Times New Roman" w:cs="Times New Roman"/>
                <w:sz w:val="20"/>
                <w:szCs w:val="20"/>
                <w:lang w:val="es-BO"/>
              </w:rPr>
            </w:pPr>
            <w:r w:rsidRPr="00EE7B79">
              <w:rPr>
                <w:rFonts w:ascii="Times New Roman" w:hAnsi="Times New Roman" w:cs="Times New Roman"/>
                <w:sz w:val="20"/>
                <w:szCs w:val="20"/>
                <w:lang w:val="es-BO"/>
              </w:rPr>
              <w:t>6</w:t>
            </w:r>
          </w:p>
        </w:tc>
        <w:tc>
          <w:tcPr>
            <w:tcW w:w="1560" w:type="dxa"/>
          </w:tcPr>
          <w:p w:rsidR="00336EB4" w:rsidRPr="00336EB4" w:rsidRDefault="00336EB4" w:rsidP="00336EB4">
            <w:pPr>
              <w:jc w:val="both"/>
              <w:rPr>
                <w:rFonts w:ascii="Arial Narrow" w:hAnsi="Arial Narrow" w:cs="Times New Roman"/>
                <w:sz w:val="20"/>
                <w:szCs w:val="20"/>
                <w:lang w:val="es-BO"/>
              </w:rPr>
            </w:pPr>
            <w:r w:rsidRPr="00336EB4">
              <w:rPr>
                <w:rFonts w:ascii="Arial Narrow" w:hAnsi="Arial Narrow"/>
                <w:sz w:val="20"/>
                <w:szCs w:val="20"/>
                <w:lang w:val="es-BO"/>
              </w:rPr>
              <w:t>Ley N˚ 767</w:t>
            </w:r>
          </w:p>
        </w:tc>
        <w:tc>
          <w:tcPr>
            <w:tcW w:w="1275" w:type="dxa"/>
          </w:tcPr>
          <w:p w:rsidR="00336EB4" w:rsidRPr="00336EB4" w:rsidRDefault="00336EB4" w:rsidP="00336EB4">
            <w:pPr>
              <w:jc w:val="both"/>
              <w:rPr>
                <w:rFonts w:ascii="Arial Narrow" w:hAnsi="Arial Narrow" w:cs="Times New Roman"/>
                <w:sz w:val="20"/>
                <w:szCs w:val="20"/>
                <w:lang w:val="es-BO"/>
              </w:rPr>
            </w:pPr>
            <w:r w:rsidRPr="00336EB4">
              <w:rPr>
                <w:rFonts w:ascii="Arial Narrow" w:hAnsi="Arial Narrow"/>
                <w:sz w:val="20"/>
                <w:szCs w:val="20"/>
                <w:lang w:val="es-BO"/>
              </w:rPr>
              <w:t>11 de diciembre de 2015</w:t>
            </w:r>
          </w:p>
        </w:tc>
        <w:tc>
          <w:tcPr>
            <w:tcW w:w="1276" w:type="dxa"/>
          </w:tcPr>
          <w:p w:rsidR="00336EB4" w:rsidRPr="00336EB4" w:rsidRDefault="00336EB4" w:rsidP="00336EB4">
            <w:pPr>
              <w:jc w:val="both"/>
              <w:rPr>
                <w:rFonts w:ascii="Arial Narrow" w:hAnsi="Arial Narrow" w:cs="Times New Roman"/>
                <w:sz w:val="20"/>
                <w:szCs w:val="20"/>
                <w:lang w:val="es-BO"/>
              </w:rPr>
            </w:pPr>
            <w:r w:rsidRPr="00336EB4">
              <w:rPr>
                <w:rFonts w:ascii="Arial Narrow" w:hAnsi="Arial Narrow"/>
                <w:sz w:val="20"/>
                <w:szCs w:val="20"/>
                <w:lang w:val="es-BO"/>
              </w:rPr>
              <w:t>Modificación</w:t>
            </w:r>
          </w:p>
        </w:tc>
        <w:tc>
          <w:tcPr>
            <w:tcW w:w="4531" w:type="dxa"/>
          </w:tcPr>
          <w:p w:rsidR="00336EB4" w:rsidRPr="00336EB4" w:rsidRDefault="00336EB4" w:rsidP="00336EB4">
            <w:pPr>
              <w:jc w:val="both"/>
              <w:rPr>
                <w:rFonts w:ascii="Arial Narrow" w:hAnsi="Arial Narrow" w:cs="Times New Roman"/>
                <w:color w:val="000000" w:themeColor="text1"/>
                <w:sz w:val="20"/>
                <w:szCs w:val="20"/>
                <w:lang w:val="es-BO"/>
              </w:rPr>
            </w:pPr>
            <w:r w:rsidRPr="00336EB4">
              <w:rPr>
                <w:rFonts w:ascii="Arial Narrow" w:hAnsi="Arial Narrow" w:cs="Times New Roman"/>
                <w:color w:val="000000" w:themeColor="text1"/>
                <w:sz w:val="20"/>
                <w:szCs w:val="20"/>
                <w:lang w:val="es-BO"/>
              </w:rPr>
              <w:t>Reducción del 12% del IDH de las entidades Territoriales Autónomas, Universidades Públicas y todos los beneficiarios previstos en la Ley N° 3058 de 17 de mayo de 2005, la Ley N° 3322 de 16 de enero de 2006, y Decretos Supremos reglamentarios, aplicable sobre los recursos de IDH percibidos a partir del mes de enero de la gestión 2016</w:t>
            </w:r>
          </w:p>
        </w:tc>
      </w:tr>
      <w:tr w:rsidR="00336EB4" w:rsidRPr="00B80977" w:rsidTr="00B83495">
        <w:tc>
          <w:tcPr>
            <w:tcW w:w="562" w:type="dxa"/>
          </w:tcPr>
          <w:p w:rsidR="00336EB4" w:rsidRPr="00EE7B79" w:rsidRDefault="00336EB4" w:rsidP="00336EB4">
            <w:pPr>
              <w:jc w:val="both"/>
              <w:rPr>
                <w:rFonts w:ascii="Times New Roman" w:hAnsi="Times New Roman" w:cs="Times New Roman"/>
                <w:sz w:val="20"/>
                <w:szCs w:val="20"/>
                <w:lang w:val="es-BO"/>
              </w:rPr>
            </w:pPr>
            <w:r w:rsidRPr="00EE7B79">
              <w:rPr>
                <w:rFonts w:ascii="Times New Roman" w:hAnsi="Times New Roman" w:cs="Times New Roman"/>
                <w:sz w:val="20"/>
                <w:szCs w:val="20"/>
                <w:lang w:val="es-BO"/>
              </w:rPr>
              <w:t>7</w:t>
            </w:r>
          </w:p>
        </w:tc>
        <w:tc>
          <w:tcPr>
            <w:tcW w:w="1560" w:type="dxa"/>
          </w:tcPr>
          <w:p w:rsidR="00336EB4" w:rsidRPr="00EE7B79" w:rsidRDefault="00336EB4" w:rsidP="00336EB4">
            <w:pPr>
              <w:jc w:val="both"/>
              <w:rPr>
                <w:rFonts w:ascii="Times New Roman" w:hAnsi="Times New Roman" w:cs="Times New Roman"/>
                <w:sz w:val="20"/>
                <w:szCs w:val="20"/>
                <w:lang w:val="es-BO"/>
              </w:rPr>
            </w:pPr>
            <w:r w:rsidRPr="00336EB4">
              <w:rPr>
                <w:rFonts w:ascii="Arial Narrow" w:hAnsi="Arial Narrow"/>
                <w:sz w:val="20"/>
                <w:szCs w:val="20"/>
                <w:lang w:val="es-BO"/>
              </w:rPr>
              <w:t>Decreto Supremo N˚ 28</w:t>
            </w:r>
            <w:r>
              <w:rPr>
                <w:rFonts w:ascii="Arial Narrow" w:hAnsi="Arial Narrow"/>
                <w:sz w:val="20"/>
                <w:szCs w:val="20"/>
                <w:lang w:val="es-BO"/>
              </w:rPr>
              <w:t>30</w:t>
            </w:r>
          </w:p>
        </w:tc>
        <w:tc>
          <w:tcPr>
            <w:tcW w:w="1275" w:type="dxa"/>
          </w:tcPr>
          <w:p w:rsidR="00336EB4" w:rsidRPr="00EE7B79" w:rsidRDefault="00336EB4" w:rsidP="00336EB4">
            <w:pPr>
              <w:jc w:val="both"/>
              <w:rPr>
                <w:rFonts w:ascii="Times New Roman" w:hAnsi="Times New Roman" w:cs="Times New Roman"/>
                <w:sz w:val="20"/>
                <w:szCs w:val="20"/>
                <w:lang w:val="es-BO"/>
              </w:rPr>
            </w:pPr>
            <w:r>
              <w:rPr>
                <w:rFonts w:ascii="Arial Narrow" w:hAnsi="Arial Narrow"/>
                <w:sz w:val="20"/>
                <w:szCs w:val="20"/>
                <w:lang w:val="es-BO"/>
              </w:rPr>
              <w:t>6</w:t>
            </w:r>
            <w:r w:rsidRPr="00336EB4">
              <w:rPr>
                <w:rFonts w:ascii="Arial Narrow" w:hAnsi="Arial Narrow"/>
                <w:sz w:val="20"/>
                <w:szCs w:val="20"/>
                <w:lang w:val="es-BO"/>
              </w:rPr>
              <w:t xml:space="preserve"> de </w:t>
            </w:r>
            <w:r>
              <w:rPr>
                <w:rFonts w:ascii="Arial Narrow" w:hAnsi="Arial Narrow"/>
                <w:sz w:val="20"/>
                <w:szCs w:val="20"/>
                <w:lang w:val="es-BO"/>
              </w:rPr>
              <w:t>julio de 2016</w:t>
            </w:r>
          </w:p>
        </w:tc>
        <w:tc>
          <w:tcPr>
            <w:tcW w:w="1276" w:type="dxa"/>
          </w:tcPr>
          <w:p w:rsidR="00336EB4" w:rsidRPr="00336EB4" w:rsidRDefault="00336EB4" w:rsidP="00336EB4">
            <w:pPr>
              <w:jc w:val="both"/>
              <w:rPr>
                <w:rFonts w:ascii="Arial Narrow" w:hAnsi="Arial Narrow" w:cs="Times New Roman"/>
                <w:sz w:val="20"/>
                <w:szCs w:val="20"/>
                <w:lang w:val="es-BO"/>
              </w:rPr>
            </w:pPr>
            <w:r w:rsidRPr="00336EB4">
              <w:rPr>
                <w:rFonts w:ascii="Arial Narrow" w:hAnsi="Arial Narrow"/>
                <w:sz w:val="20"/>
                <w:szCs w:val="20"/>
                <w:lang w:val="es-BO"/>
              </w:rPr>
              <w:t>Reglamento</w:t>
            </w:r>
          </w:p>
        </w:tc>
        <w:tc>
          <w:tcPr>
            <w:tcW w:w="4531" w:type="dxa"/>
          </w:tcPr>
          <w:p w:rsidR="00336EB4" w:rsidRPr="00336EB4" w:rsidRDefault="00336EB4" w:rsidP="00336EB4">
            <w:pPr>
              <w:jc w:val="both"/>
              <w:rPr>
                <w:rFonts w:ascii="Arial Narrow" w:hAnsi="Arial Narrow" w:cs="Times New Roman"/>
                <w:color w:val="000000" w:themeColor="text1"/>
                <w:sz w:val="20"/>
                <w:szCs w:val="20"/>
                <w:lang w:val="es-BO"/>
              </w:rPr>
            </w:pPr>
            <w:r>
              <w:rPr>
                <w:rFonts w:ascii="Arial Narrow" w:hAnsi="Arial Narrow"/>
                <w:color w:val="000000" w:themeColor="text1"/>
                <w:sz w:val="20"/>
                <w:szCs w:val="20"/>
                <w:shd w:val="clear" w:color="auto" w:fill="FFFFFF"/>
                <w:lang w:val="es-BO"/>
              </w:rPr>
              <w:t>Reglamenta</w:t>
            </w:r>
            <w:r w:rsidRPr="00336EB4">
              <w:rPr>
                <w:rFonts w:ascii="Arial Narrow" w:hAnsi="Arial Narrow"/>
                <w:color w:val="000000" w:themeColor="text1"/>
                <w:sz w:val="20"/>
                <w:szCs w:val="20"/>
                <w:shd w:val="clear" w:color="auto" w:fill="FFFFFF"/>
                <w:lang w:val="es-BO"/>
              </w:rPr>
              <w:t xml:space="preserve"> la</w:t>
            </w:r>
            <w:r w:rsidRPr="00336EB4">
              <w:rPr>
                <w:rStyle w:val="apple-converted-space"/>
                <w:rFonts w:ascii="Arial Narrow" w:hAnsi="Arial Narrow"/>
                <w:color w:val="000000" w:themeColor="text1"/>
                <w:sz w:val="20"/>
                <w:szCs w:val="20"/>
                <w:shd w:val="clear" w:color="auto" w:fill="FFFFFF"/>
                <w:lang w:val="es-BO"/>
              </w:rPr>
              <w:t> </w:t>
            </w:r>
            <w:hyperlink r:id="rId17" w:history="1">
              <w:r w:rsidRPr="00336EB4">
                <w:rPr>
                  <w:rStyle w:val="Hipervnculo"/>
                  <w:rFonts w:ascii="Arial Narrow" w:hAnsi="Arial Narrow"/>
                  <w:color w:val="000000" w:themeColor="text1"/>
                  <w:sz w:val="20"/>
                  <w:szCs w:val="20"/>
                  <w:u w:val="none"/>
                  <w:shd w:val="clear" w:color="auto" w:fill="FFFFFF"/>
                  <w:lang w:val="es-BO"/>
                </w:rPr>
                <w:t>Ley Nº 767</w:t>
              </w:r>
            </w:hyperlink>
            <w:r w:rsidRPr="00336EB4">
              <w:rPr>
                <w:rFonts w:ascii="Arial Narrow" w:hAnsi="Arial Narrow"/>
                <w:color w:val="000000" w:themeColor="text1"/>
                <w:sz w:val="20"/>
                <w:szCs w:val="20"/>
                <w:shd w:val="clear" w:color="auto" w:fill="FFFFFF"/>
                <w:lang w:val="es-BO"/>
              </w:rPr>
              <w:t>, de 11 de diciembre de 2015, de Promoción para la Inversión en Exploración y Explotación Hidrocarburífera.</w:t>
            </w:r>
          </w:p>
        </w:tc>
      </w:tr>
    </w:tbl>
    <w:p w:rsidR="00F74CE3" w:rsidRDefault="00B55C7E" w:rsidP="003863ED">
      <w:pPr>
        <w:spacing w:after="0" w:line="240" w:lineRule="auto"/>
        <w:jc w:val="both"/>
        <w:rPr>
          <w:rFonts w:ascii="Times New Roman" w:hAnsi="Times New Roman" w:cs="Times New Roman"/>
          <w:sz w:val="24"/>
          <w:szCs w:val="24"/>
          <w:lang w:val="es-BO"/>
        </w:rPr>
      </w:pPr>
      <w:r>
        <w:rPr>
          <w:rFonts w:ascii="Times New Roman" w:hAnsi="Times New Roman" w:cs="Times New Roman"/>
          <w:sz w:val="24"/>
          <w:szCs w:val="24"/>
          <w:lang w:val="es-BO"/>
        </w:rPr>
        <w:t>Fuente: Elaboración propia.</w:t>
      </w:r>
      <w:r w:rsidR="00F74CE3">
        <w:rPr>
          <w:rFonts w:ascii="Times New Roman" w:hAnsi="Times New Roman" w:cs="Times New Roman"/>
          <w:sz w:val="24"/>
          <w:szCs w:val="24"/>
          <w:lang w:val="es-BO"/>
        </w:rPr>
        <w:t xml:space="preserve">  </w:t>
      </w:r>
    </w:p>
    <w:p w:rsidR="00B55C7E" w:rsidRPr="006B3E2F" w:rsidRDefault="00B55C7E" w:rsidP="003863ED">
      <w:pPr>
        <w:spacing w:after="0" w:line="240" w:lineRule="auto"/>
        <w:jc w:val="both"/>
        <w:rPr>
          <w:rFonts w:ascii="Arial" w:hAnsi="Arial" w:cs="Arial"/>
          <w:sz w:val="24"/>
          <w:szCs w:val="24"/>
          <w:lang w:val="es-BO"/>
        </w:rPr>
      </w:pPr>
    </w:p>
    <w:p w:rsidR="00B55C7E" w:rsidRPr="006B3E2F" w:rsidRDefault="00B55C7E"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 xml:space="preserve">Los precios de valoración de la producción de hidrocarburos están establecidos en la Ley Nº 3058 Art. 56 que indica lo siguiente: Las regalías departamentales, participaciones y el Impuesto Directo a los Hidrocarburos (IDH) se pagarán en especie o en dólares de los Estados Unidos de América, de acuerdo a los siguientes criterios de valoración: </w:t>
      </w:r>
    </w:p>
    <w:p w:rsidR="00B55C7E" w:rsidRPr="006B3E2F" w:rsidRDefault="00B55C7E" w:rsidP="003863ED">
      <w:pPr>
        <w:spacing w:after="0" w:line="240" w:lineRule="auto"/>
        <w:jc w:val="both"/>
        <w:rPr>
          <w:rFonts w:ascii="Arial" w:hAnsi="Arial" w:cs="Arial"/>
          <w:sz w:val="24"/>
          <w:szCs w:val="24"/>
          <w:lang w:val="es-BO"/>
        </w:rPr>
      </w:pPr>
    </w:p>
    <w:p w:rsidR="00B55C7E" w:rsidRPr="006B3E2F" w:rsidRDefault="00B55C7E"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 xml:space="preserve">a) Los precios de petróleo en Punto de Fiscalización: </w:t>
      </w:r>
    </w:p>
    <w:p w:rsidR="00B55C7E" w:rsidRPr="006B3E2F" w:rsidRDefault="00B55C7E" w:rsidP="004C1048">
      <w:pPr>
        <w:pStyle w:val="Prrafodelista"/>
        <w:numPr>
          <w:ilvl w:val="0"/>
          <w:numId w:val="37"/>
        </w:numPr>
        <w:spacing w:after="0" w:line="240" w:lineRule="auto"/>
        <w:jc w:val="both"/>
        <w:rPr>
          <w:rFonts w:ascii="Arial" w:hAnsi="Arial" w:cs="Arial"/>
          <w:sz w:val="24"/>
          <w:szCs w:val="24"/>
          <w:lang w:val="es-BO"/>
        </w:rPr>
      </w:pPr>
      <w:r w:rsidRPr="006B3E2F">
        <w:rPr>
          <w:rFonts w:ascii="Arial" w:hAnsi="Arial" w:cs="Arial"/>
          <w:sz w:val="24"/>
          <w:szCs w:val="24"/>
          <w:lang w:val="es-BO"/>
        </w:rPr>
        <w:lastRenderedPageBreak/>
        <w:t xml:space="preserve">Para la venta en el mercado interno, el precio se basará en los precios reales de venta del mercado interno. </w:t>
      </w:r>
    </w:p>
    <w:p w:rsidR="00B55C7E" w:rsidRPr="006B3E2F" w:rsidRDefault="00B55C7E" w:rsidP="004C1048">
      <w:pPr>
        <w:pStyle w:val="Prrafodelista"/>
        <w:numPr>
          <w:ilvl w:val="0"/>
          <w:numId w:val="37"/>
        </w:numPr>
        <w:spacing w:after="0" w:line="240" w:lineRule="auto"/>
        <w:jc w:val="both"/>
        <w:rPr>
          <w:rFonts w:ascii="Arial" w:hAnsi="Arial" w:cs="Arial"/>
          <w:sz w:val="24"/>
          <w:szCs w:val="24"/>
          <w:lang w:val="es-BO"/>
        </w:rPr>
      </w:pPr>
      <w:r w:rsidRPr="006B3E2F">
        <w:rPr>
          <w:rFonts w:ascii="Arial" w:hAnsi="Arial" w:cs="Arial"/>
          <w:sz w:val="24"/>
          <w:szCs w:val="24"/>
          <w:lang w:val="es-BO"/>
        </w:rPr>
        <w:t>Para la exportación, el precio real de exportación ajustable por calidad o el precio del WTI, que se publica en el boletín Platt´s Oilgram Price Report, el que sea mayor.</w:t>
      </w:r>
    </w:p>
    <w:p w:rsidR="00336EB4" w:rsidRPr="006B3E2F" w:rsidRDefault="00336EB4" w:rsidP="003863ED">
      <w:pPr>
        <w:spacing w:after="0" w:line="240" w:lineRule="auto"/>
        <w:jc w:val="both"/>
        <w:rPr>
          <w:rFonts w:ascii="Arial" w:hAnsi="Arial" w:cs="Arial"/>
          <w:sz w:val="24"/>
          <w:szCs w:val="24"/>
          <w:lang w:val="es-BO"/>
        </w:rPr>
      </w:pPr>
    </w:p>
    <w:p w:rsidR="00B55C7E" w:rsidRPr="006B3E2F" w:rsidRDefault="00B55C7E"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 xml:space="preserve">b) El precio del Gas Natural en Punto de Fiscalización será: </w:t>
      </w:r>
    </w:p>
    <w:p w:rsidR="00B55C7E" w:rsidRPr="006B3E2F" w:rsidRDefault="00B55C7E" w:rsidP="004C1048">
      <w:pPr>
        <w:pStyle w:val="Prrafodelista"/>
        <w:numPr>
          <w:ilvl w:val="0"/>
          <w:numId w:val="36"/>
        </w:numPr>
        <w:spacing w:after="0" w:line="240" w:lineRule="auto"/>
        <w:jc w:val="both"/>
        <w:rPr>
          <w:rFonts w:ascii="Arial" w:hAnsi="Arial" w:cs="Arial"/>
          <w:sz w:val="24"/>
          <w:szCs w:val="24"/>
          <w:lang w:val="es-BO"/>
        </w:rPr>
      </w:pPr>
      <w:r w:rsidRPr="006B3E2F">
        <w:rPr>
          <w:rFonts w:ascii="Arial" w:hAnsi="Arial" w:cs="Arial"/>
          <w:sz w:val="24"/>
          <w:szCs w:val="24"/>
          <w:lang w:val="es-BO"/>
        </w:rPr>
        <w:t xml:space="preserve">El precio efectivamente pagado para las exportaciones. </w:t>
      </w:r>
    </w:p>
    <w:p w:rsidR="00B55C7E" w:rsidRPr="006B3E2F" w:rsidRDefault="00B55C7E" w:rsidP="004C1048">
      <w:pPr>
        <w:pStyle w:val="Prrafodelista"/>
        <w:numPr>
          <w:ilvl w:val="0"/>
          <w:numId w:val="36"/>
        </w:numPr>
        <w:spacing w:after="0" w:line="240" w:lineRule="auto"/>
        <w:jc w:val="both"/>
        <w:rPr>
          <w:rFonts w:ascii="Arial" w:hAnsi="Arial" w:cs="Arial"/>
          <w:sz w:val="24"/>
          <w:szCs w:val="24"/>
          <w:lang w:val="es-BO"/>
        </w:rPr>
      </w:pPr>
      <w:r w:rsidRPr="006B3E2F">
        <w:rPr>
          <w:rFonts w:ascii="Arial" w:hAnsi="Arial" w:cs="Arial"/>
          <w:sz w:val="24"/>
          <w:szCs w:val="24"/>
          <w:lang w:val="es-BO"/>
        </w:rPr>
        <w:t xml:space="preserve">El precio efectivamente pagado en el Mercado Interno. Estos precios, para el mercado interno y externo, serán ajustados por calidad. </w:t>
      </w:r>
    </w:p>
    <w:p w:rsidR="00B55C7E" w:rsidRPr="006B3E2F" w:rsidRDefault="00B55C7E" w:rsidP="003863ED">
      <w:pPr>
        <w:spacing w:after="0" w:line="240" w:lineRule="auto"/>
        <w:jc w:val="both"/>
        <w:rPr>
          <w:rFonts w:ascii="Arial" w:hAnsi="Arial" w:cs="Arial"/>
          <w:sz w:val="24"/>
          <w:szCs w:val="24"/>
          <w:lang w:val="es-BO"/>
        </w:rPr>
      </w:pPr>
    </w:p>
    <w:p w:rsidR="00B55C7E" w:rsidRPr="006B3E2F" w:rsidRDefault="00B55C7E"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 xml:space="preserve">c) Los precios del Gas Licuado de Petróleo (GLP) en Punto de Fiscalización: </w:t>
      </w:r>
    </w:p>
    <w:p w:rsidR="00B55C7E" w:rsidRPr="006B3E2F" w:rsidRDefault="00B55C7E" w:rsidP="004C1048">
      <w:pPr>
        <w:pStyle w:val="Prrafodelista"/>
        <w:numPr>
          <w:ilvl w:val="0"/>
          <w:numId w:val="35"/>
        </w:numPr>
        <w:spacing w:after="0" w:line="240" w:lineRule="auto"/>
        <w:jc w:val="both"/>
        <w:rPr>
          <w:rFonts w:ascii="Arial" w:hAnsi="Arial" w:cs="Arial"/>
          <w:sz w:val="24"/>
          <w:szCs w:val="24"/>
          <w:lang w:val="es-BO"/>
        </w:rPr>
      </w:pPr>
      <w:r w:rsidRPr="006B3E2F">
        <w:rPr>
          <w:rFonts w:ascii="Arial" w:hAnsi="Arial" w:cs="Arial"/>
          <w:sz w:val="24"/>
          <w:szCs w:val="24"/>
          <w:lang w:val="es-BO"/>
        </w:rPr>
        <w:t xml:space="preserve">Para la venta en el mercado interno, el precio se basará en los precios reales de venta del mercado interno. </w:t>
      </w:r>
    </w:p>
    <w:p w:rsidR="00B55C7E" w:rsidRPr="006B3E2F" w:rsidRDefault="00B55C7E" w:rsidP="004C1048">
      <w:pPr>
        <w:pStyle w:val="Prrafodelista"/>
        <w:numPr>
          <w:ilvl w:val="0"/>
          <w:numId w:val="35"/>
        </w:numPr>
        <w:spacing w:after="0" w:line="240" w:lineRule="auto"/>
        <w:jc w:val="both"/>
        <w:rPr>
          <w:rFonts w:ascii="Arial" w:hAnsi="Arial" w:cs="Arial"/>
          <w:sz w:val="24"/>
          <w:szCs w:val="24"/>
          <w:lang w:val="es-BO"/>
        </w:rPr>
      </w:pPr>
      <w:r w:rsidRPr="006B3E2F">
        <w:rPr>
          <w:rFonts w:ascii="Arial" w:hAnsi="Arial" w:cs="Arial"/>
          <w:sz w:val="24"/>
          <w:szCs w:val="24"/>
          <w:lang w:val="es-BO"/>
        </w:rPr>
        <w:t xml:space="preserve">Para la exportación, el precio real de exportación. </w:t>
      </w:r>
    </w:p>
    <w:p w:rsidR="00B55C7E" w:rsidRPr="006B3E2F" w:rsidRDefault="00B55C7E" w:rsidP="003863ED">
      <w:pPr>
        <w:spacing w:after="0" w:line="240" w:lineRule="auto"/>
        <w:jc w:val="both"/>
        <w:rPr>
          <w:rFonts w:ascii="Arial" w:hAnsi="Arial" w:cs="Arial"/>
          <w:sz w:val="24"/>
          <w:szCs w:val="24"/>
          <w:lang w:val="es-BO"/>
        </w:rPr>
      </w:pPr>
    </w:p>
    <w:p w:rsidR="00B55C7E" w:rsidRPr="006B3E2F" w:rsidRDefault="00B55C7E"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La presente Ley deja claramente establecido el término Punto de Fiscalización como el lugar donde se participa, se valoriza y se paga el once por ciento (11%) de la producción bruta de los hidrocarburos sujeta al pago de las regalías de los departamentos productores, razón por la que ningún consumo, compensación o costos, llámese de exploración, explotación, adecuación, transporte u otros, son deducibles de las regalías.</w:t>
      </w:r>
    </w:p>
    <w:p w:rsidR="00EE7B79" w:rsidRPr="006B3E2F" w:rsidRDefault="00EE7B79" w:rsidP="003863ED">
      <w:pPr>
        <w:spacing w:after="0" w:line="240" w:lineRule="auto"/>
        <w:jc w:val="both"/>
        <w:rPr>
          <w:rFonts w:ascii="Arial" w:hAnsi="Arial" w:cs="Arial"/>
          <w:sz w:val="24"/>
          <w:szCs w:val="24"/>
          <w:lang w:val="es-BO"/>
        </w:rPr>
      </w:pPr>
    </w:p>
    <w:p w:rsidR="00EE7B79" w:rsidRPr="006B3E2F" w:rsidRDefault="00541762"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En la Figura A2.1, se presenta la forma de distribución del IDH según en el Decreto Supremo N° 28421.</w:t>
      </w:r>
    </w:p>
    <w:p w:rsidR="00541762" w:rsidRPr="006B3E2F" w:rsidRDefault="00541762" w:rsidP="003863ED">
      <w:pPr>
        <w:spacing w:after="0" w:line="240" w:lineRule="auto"/>
        <w:jc w:val="both"/>
        <w:rPr>
          <w:rFonts w:ascii="Arial" w:hAnsi="Arial" w:cs="Arial"/>
          <w:sz w:val="24"/>
          <w:szCs w:val="24"/>
          <w:lang w:val="es-BO"/>
        </w:rPr>
      </w:pPr>
    </w:p>
    <w:p w:rsidR="00541762" w:rsidRPr="006B3E2F" w:rsidRDefault="00541762" w:rsidP="00541762">
      <w:pPr>
        <w:spacing w:after="0" w:line="240" w:lineRule="auto"/>
        <w:jc w:val="center"/>
        <w:rPr>
          <w:rFonts w:ascii="Arial" w:hAnsi="Arial" w:cs="Arial"/>
          <w:b/>
          <w:sz w:val="24"/>
          <w:szCs w:val="24"/>
          <w:lang w:val="es-BO"/>
        </w:rPr>
      </w:pPr>
      <w:r w:rsidRPr="006B3E2F">
        <w:rPr>
          <w:rFonts w:ascii="Arial" w:hAnsi="Arial" w:cs="Arial"/>
          <w:b/>
          <w:sz w:val="24"/>
          <w:szCs w:val="24"/>
          <w:lang w:val="es-BO"/>
        </w:rPr>
        <w:t>Figura A2.1</w:t>
      </w:r>
    </w:p>
    <w:p w:rsidR="00541762" w:rsidRPr="006B3E2F" w:rsidRDefault="00541762" w:rsidP="00541762">
      <w:pPr>
        <w:spacing w:after="0" w:line="240" w:lineRule="auto"/>
        <w:jc w:val="center"/>
        <w:rPr>
          <w:rFonts w:ascii="Arial" w:hAnsi="Arial" w:cs="Arial"/>
          <w:b/>
          <w:sz w:val="24"/>
          <w:szCs w:val="24"/>
          <w:lang w:val="es-BO"/>
        </w:rPr>
      </w:pPr>
      <w:r w:rsidRPr="006B3E2F">
        <w:rPr>
          <w:rFonts w:ascii="Arial" w:hAnsi="Arial" w:cs="Arial"/>
          <w:b/>
          <w:sz w:val="24"/>
          <w:szCs w:val="24"/>
          <w:lang w:val="es-BO"/>
        </w:rPr>
        <w:t>Distribución de Impuesto Directo a los Hidrocarburos (IDH)</w:t>
      </w:r>
    </w:p>
    <w:p w:rsidR="00541762" w:rsidRPr="006B3E2F" w:rsidRDefault="00541762" w:rsidP="00541762">
      <w:pPr>
        <w:spacing w:after="0" w:line="240" w:lineRule="auto"/>
        <w:jc w:val="center"/>
        <w:rPr>
          <w:rFonts w:ascii="Arial" w:hAnsi="Arial" w:cs="Arial"/>
          <w:b/>
          <w:sz w:val="24"/>
          <w:szCs w:val="24"/>
          <w:lang w:val="es-BO"/>
        </w:rPr>
      </w:pPr>
      <w:r w:rsidRPr="006B3E2F">
        <w:rPr>
          <w:rFonts w:ascii="Arial" w:hAnsi="Arial" w:cs="Arial"/>
          <w:b/>
          <w:sz w:val="24"/>
          <w:szCs w:val="24"/>
          <w:lang w:val="es-BO"/>
        </w:rPr>
        <w:t>Decreto Supremo N° 28421</w:t>
      </w:r>
    </w:p>
    <w:p w:rsidR="00541762" w:rsidRPr="006B3E2F" w:rsidRDefault="00541762" w:rsidP="003863ED">
      <w:pPr>
        <w:spacing w:after="0" w:line="240" w:lineRule="auto"/>
        <w:jc w:val="both"/>
        <w:rPr>
          <w:rFonts w:ascii="Arial" w:hAnsi="Arial" w:cs="Arial"/>
          <w:sz w:val="24"/>
          <w:szCs w:val="24"/>
          <w:lang w:val="es-BO"/>
        </w:rPr>
      </w:pPr>
    </w:p>
    <w:p w:rsidR="00541762" w:rsidRDefault="00541762" w:rsidP="003863ED">
      <w:pPr>
        <w:spacing w:after="0" w:line="240" w:lineRule="auto"/>
        <w:jc w:val="both"/>
        <w:rPr>
          <w:rFonts w:ascii="Times New Roman" w:hAnsi="Times New Roman" w:cs="Times New Roman"/>
          <w:sz w:val="24"/>
          <w:szCs w:val="24"/>
          <w:lang w:val="es-BO"/>
        </w:rPr>
      </w:pPr>
      <w:r>
        <w:rPr>
          <w:rFonts w:ascii="Times New Roman" w:hAnsi="Times New Roman" w:cs="Times New Roman"/>
          <w:noProof/>
          <w:sz w:val="24"/>
          <w:szCs w:val="24"/>
          <w:lang w:val="es-ES" w:eastAsia="es-ES"/>
        </w:rPr>
        <w:drawing>
          <wp:inline distT="0" distB="0" distL="0" distR="0">
            <wp:extent cx="5852160" cy="2834640"/>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2160" cy="2834640"/>
                    </a:xfrm>
                    <a:prstGeom prst="rect">
                      <a:avLst/>
                    </a:prstGeom>
                    <a:noFill/>
                    <a:ln>
                      <a:noFill/>
                    </a:ln>
                  </pic:spPr>
                </pic:pic>
              </a:graphicData>
            </a:graphic>
          </wp:inline>
        </w:drawing>
      </w:r>
    </w:p>
    <w:p w:rsidR="00541762" w:rsidRDefault="00541762" w:rsidP="003863ED">
      <w:pPr>
        <w:spacing w:after="0" w:line="240" w:lineRule="auto"/>
        <w:jc w:val="both"/>
        <w:rPr>
          <w:rFonts w:ascii="Times New Roman" w:hAnsi="Times New Roman" w:cs="Times New Roman"/>
          <w:sz w:val="24"/>
          <w:szCs w:val="24"/>
          <w:lang w:val="es-BO"/>
        </w:rPr>
      </w:pPr>
      <w:r>
        <w:rPr>
          <w:rFonts w:ascii="Times New Roman" w:hAnsi="Times New Roman" w:cs="Times New Roman"/>
          <w:sz w:val="24"/>
          <w:szCs w:val="24"/>
          <w:lang w:val="es-BO"/>
        </w:rPr>
        <w:t>Fuente: Elaboración propia en base al D.S. 28421.</w:t>
      </w:r>
    </w:p>
    <w:p w:rsidR="00EE7B79" w:rsidRDefault="00EE7B79" w:rsidP="003863ED">
      <w:pPr>
        <w:spacing w:after="0" w:line="240" w:lineRule="auto"/>
        <w:jc w:val="both"/>
        <w:rPr>
          <w:rFonts w:ascii="Times New Roman" w:hAnsi="Times New Roman" w:cs="Times New Roman"/>
          <w:b/>
          <w:sz w:val="24"/>
          <w:szCs w:val="24"/>
          <w:lang w:val="es-BO"/>
        </w:rPr>
      </w:pPr>
    </w:p>
    <w:p w:rsidR="00541762" w:rsidRDefault="00541762" w:rsidP="003863ED">
      <w:pPr>
        <w:spacing w:after="0" w:line="240" w:lineRule="auto"/>
        <w:jc w:val="both"/>
        <w:rPr>
          <w:rFonts w:ascii="Times New Roman" w:hAnsi="Times New Roman" w:cs="Times New Roman"/>
          <w:b/>
          <w:sz w:val="24"/>
          <w:szCs w:val="24"/>
          <w:lang w:val="es-BO"/>
        </w:rPr>
      </w:pPr>
    </w:p>
    <w:p w:rsidR="00541762" w:rsidRPr="006B3E2F" w:rsidRDefault="00541762"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lastRenderedPageBreak/>
        <w:t xml:space="preserve">Es muy importante ver la forma de redistribución dentro los departamentos, y es así que el D.S. N° 29322 de octubre de 2007 modifica la redistribución dentro el departamento, es decir que del 100% de los ingresos percibidos por cada Departamento su distribución será la siguiente: </w:t>
      </w:r>
    </w:p>
    <w:p w:rsidR="00541762" w:rsidRPr="006B3E2F" w:rsidRDefault="00541762" w:rsidP="003863ED">
      <w:pPr>
        <w:spacing w:after="0" w:line="240" w:lineRule="auto"/>
        <w:jc w:val="both"/>
        <w:rPr>
          <w:rFonts w:ascii="Arial" w:hAnsi="Arial" w:cs="Arial"/>
          <w:sz w:val="24"/>
          <w:szCs w:val="24"/>
          <w:lang w:val="es-BO"/>
        </w:rPr>
      </w:pPr>
    </w:p>
    <w:p w:rsidR="00541762" w:rsidRPr="006B3E2F" w:rsidRDefault="00541762" w:rsidP="004C1048">
      <w:pPr>
        <w:pStyle w:val="Prrafodelista"/>
        <w:numPr>
          <w:ilvl w:val="0"/>
          <w:numId w:val="38"/>
        </w:numPr>
        <w:spacing w:after="0" w:line="240" w:lineRule="auto"/>
        <w:jc w:val="both"/>
        <w:rPr>
          <w:rFonts w:ascii="Arial" w:hAnsi="Arial" w:cs="Arial"/>
          <w:sz w:val="24"/>
          <w:szCs w:val="24"/>
          <w:lang w:val="es-BO"/>
        </w:rPr>
      </w:pPr>
      <w:r w:rsidRPr="006B3E2F">
        <w:rPr>
          <w:rFonts w:ascii="Arial" w:hAnsi="Arial" w:cs="Arial"/>
          <w:sz w:val="24"/>
          <w:szCs w:val="24"/>
          <w:lang w:val="es-BO"/>
        </w:rPr>
        <w:t>66.99% para el total de los Municipios del Departamento, el cual será distribuido entre los beneficiarios de acuerdo al número de habitantes de su jurisdicción municipal, establecido en el censo nacional de población y vivienda del año 2001</w:t>
      </w:r>
      <w:r w:rsidR="00CE4FBE" w:rsidRPr="006B3E2F">
        <w:rPr>
          <w:rStyle w:val="Refdenotaalpie"/>
          <w:rFonts w:ascii="Arial" w:hAnsi="Arial" w:cs="Arial"/>
          <w:sz w:val="24"/>
          <w:szCs w:val="24"/>
          <w:lang w:val="es-BO"/>
        </w:rPr>
        <w:footnoteReference w:id="1"/>
      </w:r>
      <w:r w:rsidRPr="006B3E2F">
        <w:rPr>
          <w:rFonts w:ascii="Arial" w:hAnsi="Arial" w:cs="Arial"/>
          <w:sz w:val="24"/>
          <w:szCs w:val="24"/>
          <w:lang w:val="es-BO"/>
        </w:rPr>
        <w:t>.</w:t>
      </w:r>
    </w:p>
    <w:p w:rsidR="00541762" w:rsidRPr="006B3E2F" w:rsidRDefault="00541762" w:rsidP="004C1048">
      <w:pPr>
        <w:pStyle w:val="Prrafodelista"/>
        <w:numPr>
          <w:ilvl w:val="0"/>
          <w:numId w:val="38"/>
        </w:numPr>
        <w:spacing w:after="0" w:line="240" w:lineRule="auto"/>
        <w:jc w:val="both"/>
        <w:rPr>
          <w:rFonts w:ascii="Arial" w:hAnsi="Arial" w:cs="Arial"/>
          <w:sz w:val="24"/>
          <w:szCs w:val="24"/>
          <w:lang w:val="es-BO"/>
        </w:rPr>
      </w:pPr>
      <w:r w:rsidRPr="006B3E2F">
        <w:rPr>
          <w:rFonts w:ascii="Arial" w:hAnsi="Arial" w:cs="Arial"/>
          <w:sz w:val="24"/>
          <w:szCs w:val="24"/>
          <w:lang w:val="es-BO"/>
        </w:rPr>
        <w:t xml:space="preserve">8.62% para la Universidad Pública del Departamento. </w:t>
      </w:r>
    </w:p>
    <w:p w:rsidR="00541762" w:rsidRPr="006B3E2F" w:rsidRDefault="00541762" w:rsidP="004C1048">
      <w:pPr>
        <w:pStyle w:val="Prrafodelista"/>
        <w:numPr>
          <w:ilvl w:val="0"/>
          <w:numId w:val="38"/>
        </w:numPr>
        <w:spacing w:after="0" w:line="240" w:lineRule="auto"/>
        <w:jc w:val="both"/>
        <w:rPr>
          <w:rFonts w:ascii="Arial" w:hAnsi="Arial" w:cs="Arial"/>
          <w:sz w:val="24"/>
          <w:szCs w:val="24"/>
          <w:lang w:val="es-BO"/>
        </w:rPr>
      </w:pPr>
      <w:r w:rsidRPr="006B3E2F">
        <w:rPr>
          <w:rFonts w:ascii="Arial" w:hAnsi="Arial" w:cs="Arial"/>
          <w:sz w:val="24"/>
          <w:szCs w:val="24"/>
          <w:lang w:val="es-BO"/>
        </w:rPr>
        <w:t>24.39% para la gobernación del Departamento.</w:t>
      </w:r>
    </w:p>
    <w:p w:rsidR="00541762" w:rsidRPr="006B3E2F" w:rsidRDefault="00541762" w:rsidP="003863ED">
      <w:pPr>
        <w:spacing w:after="0" w:line="240" w:lineRule="auto"/>
        <w:jc w:val="both"/>
        <w:rPr>
          <w:rFonts w:ascii="Arial" w:hAnsi="Arial" w:cs="Arial"/>
          <w:b/>
          <w:sz w:val="24"/>
          <w:szCs w:val="24"/>
          <w:lang w:val="es-BO"/>
        </w:rPr>
      </w:pPr>
    </w:p>
    <w:p w:rsidR="00CE4FBE" w:rsidRPr="006B3E2F" w:rsidRDefault="00CE4FBE" w:rsidP="00CE4FBE">
      <w:pPr>
        <w:spacing w:after="0" w:line="240" w:lineRule="auto"/>
        <w:jc w:val="both"/>
        <w:rPr>
          <w:rFonts w:ascii="Arial" w:hAnsi="Arial" w:cs="Arial"/>
          <w:sz w:val="24"/>
          <w:szCs w:val="24"/>
          <w:lang w:val="es-BO"/>
        </w:rPr>
      </w:pPr>
      <w:r w:rsidRPr="006B3E2F">
        <w:rPr>
          <w:rFonts w:ascii="Arial" w:hAnsi="Arial" w:cs="Arial"/>
          <w:sz w:val="24"/>
          <w:szCs w:val="24"/>
          <w:lang w:val="es-BO"/>
        </w:rPr>
        <w:t>Finalmente, la última modificación sobre la distribución de los recursos del IDH fue realizado el 11 de diciembre de 2015 con la promulgación de la Ley N°767 de Ley de Promoción para la Inversión en Exploración y Explotación Hidrocarburífera, donde:</w:t>
      </w:r>
    </w:p>
    <w:p w:rsidR="00CE4FBE" w:rsidRPr="006B3E2F" w:rsidRDefault="00CE4FBE" w:rsidP="00CE4FBE">
      <w:pPr>
        <w:spacing w:after="0" w:line="240" w:lineRule="auto"/>
        <w:jc w:val="both"/>
        <w:rPr>
          <w:rFonts w:ascii="Arial" w:hAnsi="Arial" w:cs="Arial"/>
          <w:sz w:val="24"/>
          <w:szCs w:val="24"/>
          <w:lang w:val="es-BO"/>
        </w:rPr>
      </w:pPr>
    </w:p>
    <w:p w:rsidR="00CE4FBE" w:rsidRPr="006B3E2F" w:rsidRDefault="00CE4FBE" w:rsidP="004C1048">
      <w:pPr>
        <w:pStyle w:val="Prrafodelista"/>
        <w:numPr>
          <w:ilvl w:val="0"/>
          <w:numId w:val="33"/>
        </w:numPr>
        <w:spacing w:after="0" w:line="240" w:lineRule="auto"/>
        <w:jc w:val="both"/>
        <w:rPr>
          <w:rFonts w:ascii="Arial" w:hAnsi="Arial" w:cs="Arial"/>
          <w:sz w:val="24"/>
          <w:szCs w:val="24"/>
          <w:lang w:val="es-BO"/>
        </w:rPr>
      </w:pPr>
      <w:r w:rsidRPr="006B3E2F">
        <w:rPr>
          <w:rFonts w:ascii="Arial" w:hAnsi="Arial" w:cs="Arial"/>
          <w:sz w:val="24"/>
          <w:szCs w:val="24"/>
          <w:lang w:val="es-BO"/>
        </w:rPr>
        <w:t xml:space="preserve">En el Artículo 11, se crea el Fondo de Promoción a la Inversión en Exploración y Explotación Hidrocarburífera - FPIEEH con recursos provenientes del Impuesto Directo a los Hidrocarburos - IDH, para incentivar la exploración y explotación de los hidrocarburos en el Estado Plurinacional de Bolivia  </w:t>
      </w:r>
    </w:p>
    <w:p w:rsidR="00CE4FBE" w:rsidRPr="006B3E2F" w:rsidRDefault="00CE4FBE" w:rsidP="004C1048">
      <w:pPr>
        <w:pStyle w:val="Prrafodelista"/>
        <w:numPr>
          <w:ilvl w:val="0"/>
          <w:numId w:val="33"/>
        </w:numPr>
        <w:spacing w:after="0" w:line="240" w:lineRule="auto"/>
        <w:jc w:val="both"/>
        <w:rPr>
          <w:rFonts w:ascii="Arial" w:hAnsi="Arial" w:cs="Arial"/>
          <w:sz w:val="24"/>
          <w:szCs w:val="24"/>
          <w:lang w:val="es-BO"/>
        </w:rPr>
      </w:pPr>
      <w:r w:rsidRPr="006B3E2F">
        <w:rPr>
          <w:rFonts w:ascii="Arial" w:hAnsi="Arial" w:cs="Arial"/>
          <w:sz w:val="24"/>
          <w:szCs w:val="24"/>
          <w:lang w:val="es-BO"/>
        </w:rPr>
        <w:t>En el Artículo 12, se establece que el FPIEEH se financiará con el doce por ciento (12%) de los recursos provenientes del IDH, antes de la distribución a las Entidades Territoriales Autónomas, Universidades Públicas y todos los beneficiarios previstos en la Ley N° 3058 de 17 de mayo de 2005, la Ley N° 3322 de 16 de enero de 2006, y Decretos Supremos reglamentarios, aplicable sobre los recursos de IDH percibidos a partir del mes de enero de la gestión 2016, considerando la producción fiscalizada del mes que corresponda, de acuerdo a normativa vigente.</w:t>
      </w:r>
    </w:p>
    <w:p w:rsidR="00CE4FBE" w:rsidRPr="006B3E2F" w:rsidRDefault="00CE4FBE" w:rsidP="00CE4FBE">
      <w:pPr>
        <w:spacing w:after="0" w:line="240" w:lineRule="auto"/>
        <w:jc w:val="both"/>
        <w:rPr>
          <w:rFonts w:ascii="Arial" w:hAnsi="Arial" w:cs="Arial"/>
          <w:sz w:val="24"/>
          <w:szCs w:val="24"/>
          <w:lang w:val="es-BO"/>
        </w:rPr>
      </w:pPr>
    </w:p>
    <w:p w:rsidR="00CE4FBE" w:rsidRPr="006B3E2F" w:rsidRDefault="00CE4FBE" w:rsidP="00CE4FBE">
      <w:pPr>
        <w:spacing w:after="0" w:line="240" w:lineRule="auto"/>
        <w:jc w:val="both"/>
        <w:rPr>
          <w:rFonts w:ascii="Arial" w:hAnsi="Arial" w:cs="Arial"/>
          <w:sz w:val="24"/>
          <w:szCs w:val="24"/>
          <w:lang w:val="es-BO"/>
        </w:rPr>
      </w:pPr>
      <w:r w:rsidRPr="006B3E2F">
        <w:rPr>
          <w:rFonts w:ascii="Arial" w:hAnsi="Arial" w:cs="Arial"/>
          <w:sz w:val="24"/>
          <w:szCs w:val="24"/>
          <w:lang w:val="es-BO"/>
        </w:rPr>
        <w:t>En consecuencia, los ingresos percibidos por las universidades en la gestión 2016 se ha</w:t>
      </w:r>
      <w:r w:rsidR="00336EB4" w:rsidRPr="006B3E2F">
        <w:rPr>
          <w:rFonts w:ascii="Arial" w:hAnsi="Arial" w:cs="Arial"/>
          <w:sz w:val="24"/>
          <w:szCs w:val="24"/>
          <w:lang w:val="es-BO"/>
        </w:rPr>
        <w:t>n</w:t>
      </w:r>
      <w:r w:rsidRPr="006B3E2F">
        <w:rPr>
          <w:rFonts w:ascii="Arial" w:hAnsi="Arial" w:cs="Arial"/>
          <w:sz w:val="24"/>
          <w:szCs w:val="24"/>
          <w:lang w:val="es-BO"/>
        </w:rPr>
        <w:t xml:space="preserve"> reducido en</w:t>
      </w:r>
      <w:r w:rsidR="00336EB4" w:rsidRPr="006B3E2F">
        <w:rPr>
          <w:rFonts w:ascii="Arial" w:hAnsi="Arial" w:cs="Arial"/>
          <w:sz w:val="24"/>
          <w:szCs w:val="24"/>
          <w:lang w:val="es-BO"/>
        </w:rPr>
        <w:t xml:space="preserve"> el 12% por lo dispuesto en la Ley N°767.</w:t>
      </w:r>
    </w:p>
    <w:p w:rsidR="00CE4FBE" w:rsidRPr="006B3E2F" w:rsidRDefault="00CE4FBE" w:rsidP="003863ED">
      <w:pPr>
        <w:spacing w:after="0" w:line="240" w:lineRule="auto"/>
        <w:jc w:val="both"/>
        <w:rPr>
          <w:rFonts w:ascii="Arial" w:hAnsi="Arial" w:cs="Arial"/>
          <w:b/>
          <w:sz w:val="24"/>
          <w:szCs w:val="24"/>
          <w:lang w:val="es-BO"/>
        </w:rPr>
      </w:pPr>
    </w:p>
    <w:p w:rsidR="00CE4FBE" w:rsidRPr="006B3E2F" w:rsidRDefault="00CE4FBE" w:rsidP="003863ED">
      <w:pPr>
        <w:spacing w:after="0" w:line="240" w:lineRule="auto"/>
        <w:jc w:val="both"/>
        <w:rPr>
          <w:rFonts w:ascii="Arial" w:hAnsi="Arial" w:cs="Arial"/>
          <w:b/>
          <w:sz w:val="24"/>
          <w:szCs w:val="24"/>
          <w:lang w:val="es-BO"/>
        </w:rPr>
      </w:pPr>
    </w:p>
    <w:p w:rsidR="00EE7B79" w:rsidRPr="006B3E2F" w:rsidRDefault="00EE7B79" w:rsidP="003863ED">
      <w:pPr>
        <w:spacing w:after="0" w:line="240" w:lineRule="auto"/>
        <w:jc w:val="both"/>
        <w:rPr>
          <w:rFonts w:ascii="Arial" w:hAnsi="Arial" w:cs="Arial"/>
          <w:b/>
          <w:sz w:val="24"/>
          <w:szCs w:val="24"/>
          <w:lang w:val="es-BO"/>
        </w:rPr>
      </w:pPr>
      <w:r w:rsidRPr="006B3E2F">
        <w:rPr>
          <w:rFonts w:ascii="Arial" w:hAnsi="Arial" w:cs="Arial"/>
          <w:b/>
          <w:sz w:val="24"/>
          <w:szCs w:val="24"/>
          <w:lang w:val="es-BO"/>
        </w:rPr>
        <w:t>Análisis de la variación de precios del petróleo crudo WTI</w:t>
      </w:r>
    </w:p>
    <w:p w:rsidR="00EE7B79" w:rsidRPr="006B3E2F" w:rsidRDefault="00EE7B79" w:rsidP="003863ED">
      <w:pPr>
        <w:spacing w:after="0" w:line="240" w:lineRule="auto"/>
        <w:jc w:val="both"/>
        <w:rPr>
          <w:rFonts w:ascii="Arial" w:hAnsi="Arial" w:cs="Arial"/>
          <w:sz w:val="24"/>
          <w:szCs w:val="24"/>
          <w:lang w:val="es-BO"/>
        </w:rPr>
      </w:pPr>
    </w:p>
    <w:p w:rsidR="003863ED" w:rsidRPr="006B3E2F" w:rsidRDefault="003863ED"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En el Gráfico A2.1 se presenta los precios históricos del petróleo</w:t>
      </w:r>
      <w:r w:rsidR="006B3E2F">
        <w:rPr>
          <w:rFonts w:ascii="Arial" w:hAnsi="Arial" w:cs="Arial"/>
          <w:sz w:val="24"/>
          <w:szCs w:val="24"/>
          <w:lang w:val="es-BO"/>
        </w:rPr>
        <w:t xml:space="preserve"> crudo West Texas Intermediat</w:t>
      </w:r>
      <w:r w:rsidR="003500EC" w:rsidRPr="006B3E2F">
        <w:rPr>
          <w:rFonts w:ascii="Arial" w:hAnsi="Arial" w:cs="Arial"/>
          <w:sz w:val="24"/>
          <w:szCs w:val="24"/>
          <w:lang w:val="es-BO"/>
        </w:rPr>
        <w:t>en (WTI).</w:t>
      </w:r>
    </w:p>
    <w:p w:rsidR="00B86694" w:rsidRDefault="00B86694" w:rsidP="003863ED">
      <w:pPr>
        <w:spacing w:after="0" w:line="240" w:lineRule="auto"/>
        <w:jc w:val="both"/>
        <w:rPr>
          <w:rFonts w:ascii="Arial" w:hAnsi="Arial" w:cs="Arial"/>
          <w:sz w:val="24"/>
          <w:szCs w:val="24"/>
          <w:lang w:val="es-BO"/>
        </w:rPr>
      </w:pPr>
    </w:p>
    <w:p w:rsidR="006B3E2F" w:rsidRDefault="006B3E2F" w:rsidP="003863ED">
      <w:pPr>
        <w:spacing w:after="0" w:line="240" w:lineRule="auto"/>
        <w:jc w:val="both"/>
        <w:rPr>
          <w:rFonts w:ascii="Arial" w:hAnsi="Arial" w:cs="Arial"/>
          <w:sz w:val="24"/>
          <w:szCs w:val="24"/>
          <w:lang w:val="es-BO"/>
        </w:rPr>
      </w:pPr>
    </w:p>
    <w:p w:rsidR="006B3E2F" w:rsidRDefault="006B3E2F" w:rsidP="003863ED">
      <w:pPr>
        <w:spacing w:after="0" w:line="240" w:lineRule="auto"/>
        <w:jc w:val="both"/>
        <w:rPr>
          <w:rFonts w:ascii="Arial" w:hAnsi="Arial" w:cs="Arial"/>
          <w:sz w:val="24"/>
          <w:szCs w:val="24"/>
          <w:lang w:val="es-BO"/>
        </w:rPr>
      </w:pPr>
    </w:p>
    <w:p w:rsidR="006B3E2F" w:rsidRDefault="006B3E2F" w:rsidP="003863ED">
      <w:pPr>
        <w:spacing w:after="0" w:line="240" w:lineRule="auto"/>
        <w:jc w:val="both"/>
        <w:rPr>
          <w:rFonts w:ascii="Arial" w:hAnsi="Arial" w:cs="Arial"/>
          <w:sz w:val="24"/>
          <w:szCs w:val="24"/>
          <w:lang w:val="es-BO"/>
        </w:rPr>
      </w:pPr>
    </w:p>
    <w:p w:rsidR="006B3E2F" w:rsidRDefault="006B3E2F" w:rsidP="003863ED">
      <w:pPr>
        <w:spacing w:after="0" w:line="240" w:lineRule="auto"/>
        <w:jc w:val="both"/>
        <w:rPr>
          <w:rFonts w:ascii="Arial" w:hAnsi="Arial" w:cs="Arial"/>
          <w:sz w:val="24"/>
          <w:szCs w:val="24"/>
          <w:lang w:val="es-BO"/>
        </w:rPr>
      </w:pPr>
    </w:p>
    <w:p w:rsidR="006B3E2F" w:rsidRDefault="006B3E2F" w:rsidP="003863ED">
      <w:pPr>
        <w:spacing w:after="0" w:line="240" w:lineRule="auto"/>
        <w:jc w:val="both"/>
        <w:rPr>
          <w:rFonts w:ascii="Arial" w:hAnsi="Arial" w:cs="Arial"/>
          <w:sz w:val="24"/>
          <w:szCs w:val="24"/>
          <w:lang w:val="es-BO"/>
        </w:rPr>
      </w:pPr>
    </w:p>
    <w:p w:rsidR="006B3E2F" w:rsidRDefault="006B3E2F" w:rsidP="003863ED">
      <w:pPr>
        <w:spacing w:after="0" w:line="240" w:lineRule="auto"/>
        <w:jc w:val="both"/>
        <w:rPr>
          <w:rFonts w:ascii="Arial" w:hAnsi="Arial" w:cs="Arial"/>
          <w:sz w:val="24"/>
          <w:szCs w:val="24"/>
          <w:lang w:val="es-BO"/>
        </w:rPr>
      </w:pPr>
    </w:p>
    <w:p w:rsidR="006B3E2F" w:rsidRDefault="006B3E2F" w:rsidP="003863ED">
      <w:pPr>
        <w:spacing w:after="0" w:line="240" w:lineRule="auto"/>
        <w:jc w:val="both"/>
        <w:rPr>
          <w:rFonts w:ascii="Arial" w:hAnsi="Arial" w:cs="Arial"/>
          <w:sz w:val="24"/>
          <w:szCs w:val="24"/>
          <w:lang w:val="es-BO"/>
        </w:rPr>
      </w:pPr>
    </w:p>
    <w:p w:rsidR="006B3E2F" w:rsidRDefault="006B3E2F" w:rsidP="003863ED">
      <w:pPr>
        <w:spacing w:after="0" w:line="240" w:lineRule="auto"/>
        <w:jc w:val="both"/>
        <w:rPr>
          <w:rFonts w:ascii="Arial" w:hAnsi="Arial" w:cs="Arial"/>
          <w:sz w:val="24"/>
          <w:szCs w:val="24"/>
          <w:lang w:val="es-BO"/>
        </w:rPr>
      </w:pPr>
    </w:p>
    <w:p w:rsidR="006B3E2F" w:rsidRPr="006B3E2F" w:rsidRDefault="006B3E2F" w:rsidP="003863ED">
      <w:pPr>
        <w:spacing w:after="0" w:line="240" w:lineRule="auto"/>
        <w:jc w:val="both"/>
        <w:rPr>
          <w:rFonts w:ascii="Arial" w:hAnsi="Arial" w:cs="Arial"/>
          <w:sz w:val="24"/>
          <w:szCs w:val="24"/>
          <w:lang w:val="es-BO"/>
        </w:rPr>
      </w:pPr>
    </w:p>
    <w:p w:rsidR="00B86694" w:rsidRPr="006B3E2F" w:rsidRDefault="00B86694" w:rsidP="00B15B01">
      <w:pPr>
        <w:spacing w:after="0" w:line="240" w:lineRule="auto"/>
        <w:jc w:val="center"/>
        <w:rPr>
          <w:rFonts w:ascii="Arial" w:hAnsi="Arial" w:cs="Arial"/>
          <w:b/>
          <w:sz w:val="24"/>
          <w:szCs w:val="24"/>
          <w:lang w:val="es-BO"/>
        </w:rPr>
      </w:pPr>
      <w:r w:rsidRPr="006B3E2F">
        <w:rPr>
          <w:rFonts w:ascii="Arial" w:hAnsi="Arial" w:cs="Arial"/>
          <w:b/>
          <w:sz w:val="24"/>
          <w:szCs w:val="24"/>
          <w:lang w:val="es-BO"/>
        </w:rPr>
        <w:t>Gráfico A2.1</w:t>
      </w:r>
    </w:p>
    <w:p w:rsidR="00B86694" w:rsidRPr="006B3E2F" w:rsidRDefault="00B86694" w:rsidP="00B15B01">
      <w:pPr>
        <w:spacing w:after="0" w:line="240" w:lineRule="auto"/>
        <w:jc w:val="center"/>
        <w:rPr>
          <w:rFonts w:ascii="Arial" w:hAnsi="Arial" w:cs="Arial"/>
          <w:b/>
          <w:sz w:val="24"/>
          <w:szCs w:val="24"/>
          <w:lang w:val="es-BO"/>
        </w:rPr>
      </w:pPr>
      <w:r w:rsidRPr="006B3E2F">
        <w:rPr>
          <w:rFonts w:ascii="Arial" w:hAnsi="Arial" w:cs="Arial"/>
          <w:b/>
          <w:sz w:val="24"/>
          <w:szCs w:val="24"/>
          <w:lang w:val="es-BO"/>
        </w:rPr>
        <w:lastRenderedPageBreak/>
        <w:t>Precio histórico del petróleo WTI  -  Periodo 2006 - 2016</w:t>
      </w:r>
    </w:p>
    <w:p w:rsidR="003500EC" w:rsidRPr="00B86694" w:rsidRDefault="00B86694" w:rsidP="00B86694">
      <w:pPr>
        <w:spacing w:after="0" w:line="240" w:lineRule="auto"/>
        <w:jc w:val="center"/>
        <w:rPr>
          <w:rFonts w:ascii="Times New Roman" w:hAnsi="Times New Roman" w:cs="Times New Roman"/>
          <w:sz w:val="24"/>
          <w:szCs w:val="24"/>
          <w:lang w:val="es-BO"/>
        </w:rPr>
      </w:pPr>
      <w:r w:rsidRPr="00B86694">
        <w:rPr>
          <w:rFonts w:ascii="Times New Roman" w:hAnsi="Times New Roman" w:cs="Times New Roman"/>
          <w:noProof/>
          <w:sz w:val="24"/>
          <w:szCs w:val="24"/>
          <w:lang w:val="es-ES" w:eastAsia="es-ES"/>
        </w:rPr>
        <w:drawing>
          <wp:inline distT="0" distB="0" distL="0" distR="0" wp14:anchorId="16CC4EE9" wp14:editId="7B35B667">
            <wp:extent cx="4972050" cy="2200275"/>
            <wp:effectExtent l="0" t="0" r="0" b="952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863ED" w:rsidRPr="00B86694" w:rsidRDefault="00B86694" w:rsidP="003863ED">
      <w:pPr>
        <w:rPr>
          <w:rFonts w:ascii="Times New Roman" w:hAnsi="Times New Roman" w:cs="Times New Roman"/>
          <w:sz w:val="24"/>
          <w:szCs w:val="24"/>
          <w:lang w:val="es-BO"/>
        </w:rPr>
      </w:pPr>
      <w:r w:rsidRPr="00B86694">
        <w:rPr>
          <w:rFonts w:ascii="Times New Roman" w:hAnsi="Times New Roman" w:cs="Times New Roman"/>
          <w:sz w:val="24"/>
          <w:szCs w:val="24"/>
          <w:lang w:val="es-BO"/>
        </w:rPr>
        <w:t>Fuente: Elaboración propia en base a datos de Centro de Estudios del Petróleo, México</w:t>
      </w:r>
    </w:p>
    <w:p w:rsidR="00B86694" w:rsidRPr="00B86694" w:rsidRDefault="00B86694" w:rsidP="003863ED">
      <w:pPr>
        <w:jc w:val="center"/>
        <w:rPr>
          <w:rFonts w:ascii="Times New Roman" w:hAnsi="Times New Roman" w:cs="Times New Roman"/>
          <w:b/>
          <w:sz w:val="24"/>
          <w:szCs w:val="24"/>
          <w:lang w:val="es-BO"/>
        </w:rPr>
      </w:pPr>
    </w:p>
    <w:p w:rsidR="00B86694" w:rsidRPr="006B3E2F" w:rsidRDefault="00B86694" w:rsidP="00B86694">
      <w:pPr>
        <w:jc w:val="both"/>
        <w:rPr>
          <w:rFonts w:ascii="Arial" w:hAnsi="Arial" w:cs="Arial"/>
          <w:sz w:val="24"/>
          <w:szCs w:val="24"/>
          <w:lang w:val="es-BO"/>
        </w:rPr>
      </w:pPr>
      <w:r w:rsidRPr="006B3E2F">
        <w:rPr>
          <w:rFonts w:ascii="Arial" w:hAnsi="Arial" w:cs="Arial"/>
          <w:sz w:val="24"/>
          <w:szCs w:val="24"/>
          <w:lang w:val="es-BO"/>
        </w:rPr>
        <w:t xml:space="preserve">En el </w:t>
      </w:r>
      <w:r w:rsidRPr="006B3E2F">
        <w:rPr>
          <w:rFonts w:ascii="Arial" w:hAnsi="Arial" w:cs="Arial"/>
          <w:b/>
          <w:sz w:val="24"/>
          <w:szCs w:val="24"/>
          <w:lang w:val="es-BO"/>
        </w:rPr>
        <w:t>Gráfico A2.2</w:t>
      </w:r>
      <w:r w:rsidRPr="006B3E2F">
        <w:rPr>
          <w:rFonts w:ascii="Arial" w:hAnsi="Arial" w:cs="Arial"/>
          <w:sz w:val="24"/>
          <w:szCs w:val="24"/>
          <w:lang w:val="es-BO"/>
        </w:rPr>
        <w:t xml:space="preserve"> se presenta la variación del precio internacional del petróleo WTI, donde se muestra el incremento gradual del crud</w:t>
      </w:r>
      <w:r w:rsidR="000A2FDF" w:rsidRPr="006B3E2F">
        <w:rPr>
          <w:rFonts w:ascii="Arial" w:hAnsi="Arial" w:cs="Arial"/>
          <w:sz w:val="24"/>
          <w:szCs w:val="24"/>
          <w:lang w:val="es-BO"/>
        </w:rPr>
        <w:t>o en los últimos cinco</w:t>
      </w:r>
      <w:r w:rsidRPr="006B3E2F">
        <w:rPr>
          <w:rFonts w:ascii="Arial" w:hAnsi="Arial" w:cs="Arial"/>
          <w:sz w:val="24"/>
          <w:szCs w:val="24"/>
          <w:lang w:val="es-BO"/>
        </w:rPr>
        <w:t xml:space="preserve"> meses. </w:t>
      </w:r>
    </w:p>
    <w:p w:rsidR="003863ED" w:rsidRPr="006B3E2F" w:rsidRDefault="00B7070B" w:rsidP="003863ED">
      <w:pPr>
        <w:jc w:val="center"/>
        <w:rPr>
          <w:rFonts w:ascii="Arial" w:hAnsi="Arial" w:cs="Arial"/>
          <w:b/>
          <w:sz w:val="24"/>
          <w:szCs w:val="24"/>
          <w:lang w:val="es-BO"/>
        </w:rPr>
      </w:pPr>
      <w:r w:rsidRPr="006B3E2F">
        <w:rPr>
          <w:rFonts w:ascii="Arial" w:hAnsi="Arial" w:cs="Arial"/>
          <w:b/>
          <w:sz w:val="24"/>
          <w:szCs w:val="24"/>
          <w:lang w:val="es-BO"/>
        </w:rPr>
        <w:t>Gráfico A2.2</w:t>
      </w:r>
    </w:p>
    <w:p w:rsidR="003863ED" w:rsidRPr="006B3E2F" w:rsidRDefault="003863ED" w:rsidP="003863ED">
      <w:pPr>
        <w:jc w:val="center"/>
        <w:rPr>
          <w:rFonts w:ascii="Arial" w:hAnsi="Arial" w:cs="Arial"/>
          <w:b/>
          <w:sz w:val="24"/>
          <w:szCs w:val="24"/>
          <w:lang w:val="es-BO"/>
        </w:rPr>
      </w:pPr>
      <w:r w:rsidRPr="006B3E2F">
        <w:rPr>
          <w:rFonts w:ascii="Arial" w:hAnsi="Arial" w:cs="Arial"/>
          <w:b/>
          <w:sz w:val="24"/>
          <w:szCs w:val="24"/>
          <w:lang w:val="es-BO"/>
        </w:rPr>
        <w:t>Precio histórico del petróleo WTI  -  Gestión 2016</w:t>
      </w:r>
    </w:p>
    <w:p w:rsidR="003863ED" w:rsidRPr="00B86694" w:rsidRDefault="003863ED" w:rsidP="003863ED">
      <w:pPr>
        <w:rPr>
          <w:rFonts w:ascii="Times New Roman" w:hAnsi="Times New Roman" w:cs="Times New Roman"/>
          <w:sz w:val="24"/>
          <w:szCs w:val="24"/>
          <w:lang w:val="es-BO"/>
        </w:rPr>
      </w:pPr>
      <w:r w:rsidRPr="00B86694">
        <w:rPr>
          <w:rFonts w:ascii="Times New Roman" w:hAnsi="Times New Roman" w:cs="Times New Roman"/>
          <w:noProof/>
          <w:sz w:val="24"/>
          <w:szCs w:val="24"/>
          <w:lang w:val="es-ES" w:eastAsia="es-ES"/>
        </w:rPr>
        <w:drawing>
          <wp:inline distT="0" distB="0" distL="0" distR="0" wp14:anchorId="51708E5B" wp14:editId="6612240E">
            <wp:extent cx="5400675" cy="18192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1819275"/>
                    </a:xfrm>
                    <a:prstGeom prst="rect">
                      <a:avLst/>
                    </a:prstGeom>
                    <a:noFill/>
                    <a:ln>
                      <a:noFill/>
                    </a:ln>
                  </pic:spPr>
                </pic:pic>
              </a:graphicData>
            </a:graphic>
          </wp:inline>
        </w:drawing>
      </w:r>
    </w:p>
    <w:p w:rsidR="003863ED" w:rsidRPr="00B86694" w:rsidRDefault="003863ED" w:rsidP="003863ED">
      <w:pPr>
        <w:jc w:val="center"/>
        <w:rPr>
          <w:rFonts w:ascii="Times New Roman" w:hAnsi="Times New Roman" w:cs="Times New Roman"/>
          <w:sz w:val="24"/>
          <w:szCs w:val="24"/>
          <w:lang w:val="es-BO"/>
        </w:rPr>
      </w:pPr>
      <w:r w:rsidRPr="00B86694">
        <w:rPr>
          <w:rFonts w:ascii="Times New Roman" w:hAnsi="Times New Roman" w:cs="Times New Roman"/>
          <w:noProof/>
          <w:sz w:val="24"/>
          <w:szCs w:val="24"/>
          <w:lang w:val="es-ES" w:eastAsia="es-ES"/>
        </w:rPr>
        <w:drawing>
          <wp:inline distT="0" distB="0" distL="0" distR="0" wp14:anchorId="60FE2113" wp14:editId="1047B6A3">
            <wp:extent cx="3743325" cy="4286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43325" cy="428625"/>
                    </a:xfrm>
                    <a:prstGeom prst="rect">
                      <a:avLst/>
                    </a:prstGeom>
                    <a:noFill/>
                    <a:ln>
                      <a:noFill/>
                    </a:ln>
                  </pic:spPr>
                </pic:pic>
              </a:graphicData>
            </a:graphic>
          </wp:inline>
        </w:drawing>
      </w:r>
    </w:p>
    <w:p w:rsidR="003863ED" w:rsidRPr="00B86694" w:rsidRDefault="003863ED" w:rsidP="003863ED">
      <w:pPr>
        <w:rPr>
          <w:rFonts w:ascii="Times New Roman" w:hAnsi="Times New Roman" w:cs="Times New Roman"/>
          <w:sz w:val="24"/>
          <w:szCs w:val="24"/>
          <w:lang w:val="es-BO"/>
        </w:rPr>
      </w:pPr>
      <w:r w:rsidRPr="00B86694">
        <w:rPr>
          <w:rFonts w:ascii="Times New Roman" w:hAnsi="Times New Roman" w:cs="Times New Roman"/>
          <w:sz w:val="24"/>
          <w:szCs w:val="24"/>
          <w:lang w:val="es-BO"/>
        </w:rPr>
        <w:tab/>
        <w:t>Fuente: Sistema de información de petróleo y gas, 2016.</w:t>
      </w:r>
    </w:p>
    <w:p w:rsidR="003863ED" w:rsidRPr="000A2FDF" w:rsidRDefault="003863ED" w:rsidP="003863ED">
      <w:pPr>
        <w:spacing w:after="0" w:line="240" w:lineRule="auto"/>
        <w:jc w:val="both"/>
        <w:rPr>
          <w:rFonts w:ascii="Times New Roman" w:hAnsi="Times New Roman" w:cs="Times New Roman"/>
          <w:sz w:val="24"/>
          <w:szCs w:val="24"/>
          <w:lang w:val="es-BO"/>
        </w:rPr>
      </w:pPr>
    </w:p>
    <w:p w:rsidR="000A2FDF" w:rsidRPr="006B3E2F" w:rsidRDefault="000A2FDF" w:rsidP="000A2FDF">
      <w:pPr>
        <w:spacing w:after="0" w:line="240" w:lineRule="auto"/>
        <w:jc w:val="both"/>
        <w:rPr>
          <w:rFonts w:ascii="Arial" w:hAnsi="Arial" w:cs="Arial"/>
          <w:sz w:val="24"/>
          <w:szCs w:val="24"/>
          <w:lang w:val="es-BO"/>
        </w:rPr>
      </w:pPr>
      <w:r w:rsidRPr="006B3E2F">
        <w:rPr>
          <w:rFonts w:ascii="Arial" w:hAnsi="Arial" w:cs="Arial"/>
          <w:sz w:val="24"/>
          <w:szCs w:val="24"/>
          <w:lang w:val="es-BO"/>
        </w:rPr>
        <w:t>En el Gráfico anterior se puede apreciar que el precio del crudo WTI a finales de 2016 alcanzó los 54,04 $us/Barril, este precio se dio después de la caída del mes de febrero donde alcanzó 26,21 $us/Barril, con un promedio anual de 43.34 $us/Barril.</w:t>
      </w:r>
    </w:p>
    <w:p w:rsidR="000A2FDF" w:rsidRPr="006B3E2F" w:rsidRDefault="000A2FDF" w:rsidP="000A2FDF">
      <w:pPr>
        <w:spacing w:after="0" w:line="240" w:lineRule="auto"/>
        <w:jc w:val="both"/>
        <w:rPr>
          <w:rFonts w:ascii="Arial" w:hAnsi="Arial" w:cs="Arial"/>
          <w:sz w:val="24"/>
          <w:szCs w:val="24"/>
          <w:lang w:val="es-BO"/>
        </w:rPr>
      </w:pPr>
    </w:p>
    <w:p w:rsidR="003863ED" w:rsidRPr="006B3E2F" w:rsidRDefault="000A2FDF" w:rsidP="000A2FDF">
      <w:pPr>
        <w:spacing w:after="0" w:line="240" w:lineRule="auto"/>
        <w:jc w:val="both"/>
        <w:rPr>
          <w:rFonts w:ascii="Arial" w:hAnsi="Arial" w:cs="Arial"/>
          <w:color w:val="000000" w:themeColor="text1"/>
          <w:sz w:val="24"/>
          <w:szCs w:val="24"/>
          <w:shd w:val="clear" w:color="auto" w:fill="FFFFFF"/>
          <w:lang w:val="es-BO"/>
        </w:rPr>
      </w:pPr>
      <w:r w:rsidRPr="006B3E2F">
        <w:rPr>
          <w:rFonts w:ascii="Arial" w:hAnsi="Arial" w:cs="Arial"/>
          <w:color w:val="000000" w:themeColor="text1"/>
          <w:sz w:val="24"/>
          <w:szCs w:val="24"/>
          <w:shd w:val="clear" w:color="auto" w:fill="FFFFFF"/>
          <w:lang w:val="es-BO"/>
        </w:rPr>
        <w:t>La empresa Reuters</w:t>
      </w:r>
      <w:r w:rsidR="00F74CE3" w:rsidRPr="006B3E2F">
        <w:rPr>
          <w:rFonts w:ascii="Arial" w:hAnsi="Arial" w:cs="Arial"/>
          <w:color w:val="000000" w:themeColor="text1"/>
          <w:sz w:val="24"/>
          <w:szCs w:val="24"/>
          <w:shd w:val="clear" w:color="auto" w:fill="FFFFFF"/>
          <w:lang w:val="es-BO"/>
        </w:rPr>
        <w:t>, en fecha 30/10/2016,</w:t>
      </w:r>
      <w:r w:rsidRPr="006B3E2F">
        <w:rPr>
          <w:rFonts w:ascii="Arial" w:hAnsi="Arial" w:cs="Arial"/>
          <w:color w:val="000000" w:themeColor="text1"/>
          <w:sz w:val="24"/>
          <w:szCs w:val="24"/>
          <w:shd w:val="clear" w:color="auto" w:fill="FFFFFF"/>
          <w:lang w:val="es-BO"/>
        </w:rPr>
        <w:t xml:space="preserve"> realizó un sondeo con la opinión de 35 analistas y economistas, los que fueron encuestados y pronosticaron que el precio del crudo estadounidense WTI promediará los $us 55,22 en la gestión 2017.</w:t>
      </w:r>
    </w:p>
    <w:p w:rsidR="000A2FDF" w:rsidRPr="006B3E2F" w:rsidRDefault="000A2FDF" w:rsidP="000A2FDF">
      <w:pPr>
        <w:spacing w:after="0" w:line="240" w:lineRule="auto"/>
        <w:jc w:val="both"/>
        <w:rPr>
          <w:rFonts w:ascii="Arial" w:hAnsi="Arial" w:cs="Arial"/>
          <w:color w:val="000000" w:themeColor="text1"/>
          <w:sz w:val="24"/>
          <w:szCs w:val="24"/>
          <w:shd w:val="clear" w:color="auto" w:fill="FFFFFF"/>
          <w:lang w:val="es-BO"/>
        </w:rPr>
      </w:pPr>
    </w:p>
    <w:p w:rsidR="00D074AF" w:rsidRDefault="000A2FDF" w:rsidP="000A2FDF">
      <w:pPr>
        <w:spacing w:after="0" w:line="240" w:lineRule="auto"/>
        <w:jc w:val="both"/>
        <w:rPr>
          <w:rFonts w:ascii="Arial" w:hAnsi="Arial" w:cs="Arial"/>
          <w:color w:val="000000" w:themeColor="text1"/>
          <w:sz w:val="24"/>
          <w:szCs w:val="24"/>
          <w:shd w:val="clear" w:color="auto" w:fill="FFFFFF"/>
          <w:lang w:val="es-BO"/>
        </w:rPr>
      </w:pPr>
      <w:r w:rsidRPr="006B3E2F">
        <w:rPr>
          <w:rFonts w:ascii="Arial" w:hAnsi="Arial" w:cs="Arial"/>
          <w:color w:val="000000" w:themeColor="text1"/>
          <w:sz w:val="24"/>
          <w:szCs w:val="24"/>
          <w:shd w:val="clear" w:color="auto" w:fill="FFFFFF"/>
          <w:lang w:val="es-BO"/>
        </w:rPr>
        <w:lastRenderedPageBreak/>
        <w:t xml:space="preserve">Los analistas </w:t>
      </w:r>
      <w:r w:rsidR="00F74CE3" w:rsidRPr="006B3E2F">
        <w:rPr>
          <w:rFonts w:ascii="Arial" w:hAnsi="Arial" w:cs="Arial"/>
          <w:color w:val="000000" w:themeColor="text1"/>
          <w:sz w:val="24"/>
          <w:szCs w:val="24"/>
          <w:shd w:val="clear" w:color="auto" w:fill="FFFFFF"/>
          <w:lang w:val="es-BO"/>
        </w:rPr>
        <w:t xml:space="preserve">también </w:t>
      </w:r>
      <w:r w:rsidRPr="006B3E2F">
        <w:rPr>
          <w:rFonts w:ascii="Arial" w:hAnsi="Arial" w:cs="Arial"/>
          <w:color w:val="000000" w:themeColor="text1"/>
          <w:sz w:val="24"/>
          <w:szCs w:val="24"/>
          <w:shd w:val="clear" w:color="auto" w:fill="FFFFFF"/>
          <w:lang w:val="es-BO"/>
        </w:rPr>
        <w:t>dijeron, si bien hay una fuerte posibilidad de que Rusia, un gran productor que no integra la OPEP, acuerde congelar la producción a sus actuales niveles máximos, otros productores fuera de la OPEP no se unirían al esfuerzo, e incluso aumentarían el bombeo.</w:t>
      </w:r>
    </w:p>
    <w:p w:rsidR="000A2FDF" w:rsidRPr="006B3E2F" w:rsidRDefault="000A2FDF" w:rsidP="000A2FDF">
      <w:pPr>
        <w:spacing w:after="0" w:line="240" w:lineRule="auto"/>
        <w:jc w:val="both"/>
        <w:rPr>
          <w:rFonts w:ascii="Arial" w:hAnsi="Arial" w:cs="Arial"/>
          <w:color w:val="000000" w:themeColor="text1"/>
          <w:sz w:val="24"/>
          <w:szCs w:val="24"/>
          <w:shd w:val="clear" w:color="auto" w:fill="FFFFFF"/>
          <w:lang w:val="es-BO"/>
        </w:rPr>
      </w:pPr>
      <w:r w:rsidRPr="006B3E2F">
        <w:rPr>
          <w:rFonts w:ascii="Arial" w:hAnsi="Arial" w:cs="Arial"/>
          <w:color w:val="000000" w:themeColor="text1"/>
          <w:sz w:val="24"/>
          <w:szCs w:val="24"/>
          <w:lang w:val="es-BO"/>
        </w:rPr>
        <w:br/>
      </w:r>
      <w:r w:rsidRPr="006B3E2F">
        <w:rPr>
          <w:rFonts w:ascii="Arial" w:hAnsi="Arial" w:cs="Arial"/>
          <w:color w:val="000000" w:themeColor="text1"/>
          <w:sz w:val="24"/>
          <w:szCs w:val="24"/>
          <w:shd w:val="clear" w:color="auto" w:fill="FFFFFF"/>
          <w:lang w:val="es-BO"/>
        </w:rPr>
        <w:t>Si el acuerdo no logra materializarse, los analistas anticipan una drástica liquidación que podría hundir los precios hasta 40 dólares por barril, y prevén que en ese caso el actual exceso de oferta permanezca hasta al menos mediados del 2017.</w:t>
      </w:r>
    </w:p>
    <w:p w:rsidR="00F74CE3" w:rsidRPr="006B3E2F" w:rsidRDefault="00F74CE3" w:rsidP="000A2FDF">
      <w:pPr>
        <w:spacing w:after="0" w:line="240" w:lineRule="auto"/>
        <w:jc w:val="both"/>
        <w:rPr>
          <w:rFonts w:ascii="Arial" w:hAnsi="Arial" w:cs="Arial"/>
          <w:color w:val="000000" w:themeColor="text1"/>
          <w:sz w:val="24"/>
          <w:szCs w:val="24"/>
          <w:shd w:val="clear" w:color="auto" w:fill="FFFFFF"/>
          <w:lang w:val="es-BO"/>
        </w:rPr>
      </w:pPr>
    </w:p>
    <w:p w:rsidR="003863ED" w:rsidRPr="006B3E2F" w:rsidRDefault="00F74CE3" w:rsidP="000A2FDF">
      <w:pPr>
        <w:spacing w:after="0" w:line="240" w:lineRule="auto"/>
        <w:jc w:val="both"/>
        <w:rPr>
          <w:rFonts w:ascii="Arial" w:hAnsi="Arial" w:cs="Arial"/>
          <w:sz w:val="24"/>
          <w:szCs w:val="24"/>
          <w:lang w:val="es-BO"/>
        </w:rPr>
      </w:pPr>
      <w:r w:rsidRPr="006B3E2F">
        <w:rPr>
          <w:rFonts w:ascii="Arial" w:hAnsi="Arial" w:cs="Arial"/>
          <w:color w:val="000000" w:themeColor="text1"/>
          <w:sz w:val="24"/>
          <w:szCs w:val="24"/>
          <w:shd w:val="clear" w:color="auto" w:fill="FFFFFF"/>
          <w:lang w:val="es-BO"/>
        </w:rPr>
        <w:t>De la misma manera, los analistas pronosticaron que para el periodo 2017-2021 los precios internacionales del crudo WTI fluctuará entre 45 y 65 $us/Barril, precios que nos permiten afirmar que las proyecciones del Gobierno Nacional para el presupuesto 2016 y 2017, que fueron 44 y 45,24 $us/ Barril, son cifras conservadoras y permiten soportar con cierta holgura las recaudaciones por IDH.</w:t>
      </w:r>
    </w:p>
    <w:p w:rsidR="00F74CE3" w:rsidRPr="006B3E2F" w:rsidRDefault="00F74CE3" w:rsidP="000A2FDF">
      <w:pPr>
        <w:spacing w:after="0" w:line="240" w:lineRule="auto"/>
        <w:jc w:val="both"/>
        <w:rPr>
          <w:rFonts w:ascii="Arial" w:hAnsi="Arial" w:cs="Arial"/>
          <w:sz w:val="24"/>
          <w:szCs w:val="24"/>
          <w:lang w:val="es-BO"/>
        </w:rPr>
      </w:pPr>
    </w:p>
    <w:p w:rsidR="00097FF0" w:rsidRPr="006B3E2F" w:rsidRDefault="00097FF0" w:rsidP="00097FF0">
      <w:pPr>
        <w:shd w:val="clear" w:color="auto" w:fill="FFFFFF"/>
        <w:spacing w:after="0" w:line="240" w:lineRule="auto"/>
        <w:jc w:val="both"/>
        <w:rPr>
          <w:rFonts w:ascii="Arial" w:eastAsia="Times New Roman" w:hAnsi="Arial" w:cs="Arial"/>
          <w:color w:val="000000" w:themeColor="text1"/>
          <w:sz w:val="24"/>
          <w:szCs w:val="24"/>
          <w:lang w:val="es-BO"/>
        </w:rPr>
      </w:pPr>
      <w:r w:rsidRPr="006B3E2F">
        <w:rPr>
          <w:rFonts w:ascii="Arial" w:eastAsia="Times New Roman" w:hAnsi="Arial" w:cs="Arial"/>
          <w:color w:val="000000" w:themeColor="text1"/>
          <w:sz w:val="24"/>
          <w:szCs w:val="24"/>
          <w:lang w:val="es-BO"/>
        </w:rPr>
        <w:t>Finalmente, el Plan de Desarrollo Económico y Social 2016-2020, que fue presentado en marzo de este año, el Gobierno proyectó que el precio promedio del barril de petróleo estará en 55$us/Barril, durante el periodo 2017-2020.</w:t>
      </w:r>
    </w:p>
    <w:p w:rsidR="004F361F" w:rsidRPr="006B3E2F" w:rsidRDefault="004F361F" w:rsidP="003863ED">
      <w:pPr>
        <w:spacing w:after="0" w:line="240" w:lineRule="auto"/>
        <w:jc w:val="both"/>
        <w:rPr>
          <w:rFonts w:ascii="Arial" w:hAnsi="Arial" w:cs="Arial"/>
          <w:b/>
          <w:sz w:val="24"/>
          <w:szCs w:val="24"/>
          <w:lang w:val="es-BO"/>
        </w:rPr>
      </w:pPr>
    </w:p>
    <w:p w:rsidR="004F361F" w:rsidRPr="006B3E2F" w:rsidRDefault="004F361F" w:rsidP="003863ED">
      <w:pPr>
        <w:spacing w:after="0" w:line="240" w:lineRule="auto"/>
        <w:jc w:val="both"/>
        <w:rPr>
          <w:rFonts w:ascii="Arial" w:hAnsi="Arial" w:cs="Arial"/>
          <w:b/>
          <w:sz w:val="24"/>
          <w:szCs w:val="24"/>
          <w:lang w:val="es-BO"/>
        </w:rPr>
      </w:pPr>
    </w:p>
    <w:p w:rsidR="004F361F" w:rsidRPr="006B3E2F" w:rsidRDefault="004F361F" w:rsidP="003863ED">
      <w:pPr>
        <w:spacing w:after="0" w:line="240" w:lineRule="auto"/>
        <w:jc w:val="both"/>
        <w:rPr>
          <w:rFonts w:ascii="Arial" w:hAnsi="Arial" w:cs="Arial"/>
          <w:b/>
          <w:sz w:val="24"/>
          <w:szCs w:val="24"/>
          <w:lang w:val="es-BO"/>
        </w:rPr>
      </w:pPr>
      <w:r w:rsidRPr="006B3E2F">
        <w:rPr>
          <w:rFonts w:ascii="Arial" w:hAnsi="Arial" w:cs="Arial"/>
          <w:b/>
          <w:sz w:val="24"/>
          <w:szCs w:val="24"/>
          <w:lang w:val="es-BO"/>
        </w:rPr>
        <w:t>Ingresos percibidos de IDH por el Estado Plurinacional de Bolivia</w:t>
      </w:r>
    </w:p>
    <w:p w:rsidR="004F361F" w:rsidRPr="006B3E2F" w:rsidRDefault="004F361F" w:rsidP="003863ED">
      <w:pPr>
        <w:spacing w:after="0" w:line="240" w:lineRule="auto"/>
        <w:jc w:val="both"/>
        <w:rPr>
          <w:rFonts w:ascii="Arial" w:hAnsi="Arial" w:cs="Arial"/>
          <w:sz w:val="24"/>
          <w:szCs w:val="24"/>
          <w:lang w:val="es-BO"/>
        </w:rPr>
      </w:pPr>
    </w:p>
    <w:p w:rsidR="004F361F" w:rsidRPr="006B3E2F" w:rsidRDefault="004F361F"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En el Gráfico A2.3 se presenta los datos históricos correspondientes a los ingresos de IDH percibidos por el Estado Plurinacional de Bolivia.</w:t>
      </w:r>
    </w:p>
    <w:p w:rsidR="004F361F" w:rsidRPr="006B3E2F" w:rsidRDefault="004F361F" w:rsidP="003863ED">
      <w:pPr>
        <w:spacing w:after="0" w:line="240" w:lineRule="auto"/>
        <w:jc w:val="both"/>
        <w:rPr>
          <w:rFonts w:ascii="Arial" w:hAnsi="Arial" w:cs="Arial"/>
          <w:sz w:val="24"/>
          <w:szCs w:val="24"/>
          <w:lang w:val="es-BO"/>
        </w:rPr>
      </w:pPr>
    </w:p>
    <w:p w:rsidR="00696C38" w:rsidRPr="006B3E2F" w:rsidRDefault="00696C38" w:rsidP="00696C38">
      <w:pPr>
        <w:spacing w:after="0" w:line="240" w:lineRule="auto"/>
        <w:jc w:val="center"/>
        <w:rPr>
          <w:rFonts w:ascii="Arial" w:hAnsi="Arial" w:cs="Arial"/>
          <w:b/>
          <w:sz w:val="24"/>
          <w:szCs w:val="24"/>
          <w:lang w:val="es-BO"/>
        </w:rPr>
      </w:pPr>
      <w:r w:rsidRPr="006B3E2F">
        <w:rPr>
          <w:rFonts w:ascii="Arial" w:hAnsi="Arial" w:cs="Arial"/>
          <w:b/>
          <w:sz w:val="24"/>
          <w:szCs w:val="24"/>
          <w:lang w:val="es-BO"/>
        </w:rPr>
        <w:t>Gráfico A2.3</w:t>
      </w:r>
    </w:p>
    <w:p w:rsidR="00696C38" w:rsidRPr="006B3E2F" w:rsidRDefault="00696C38" w:rsidP="00696C38">
      <w:pPr>
        <w:spacing w:after="0" w:line="240" w:lineRule="auto"/>
        <w:jc w:val="center"/>
        <w:rPr>
          <w:rFonts w:ascii="Arial" w:hAnsi="Arial" w:cs="Arial"/>
          <w:b/>
          <w:sz w:val="24"/>
          <w:szCs w:val="24"/>
          <w:lang w:val="es-BO"/>
        </w:rPr>
      </w:pPr>
      <w:r w:rsidRPr="006B3E2F">
        <w:rPr>
          <w:rFonts w:ascii="Arial" w:hAnsi="Arial" w:cs="Arial"/>
          <w:b/>
          <w:sz w:val="24"/>
          <w:szCs w:val="24"/>
          <w:lang w:val="es-BO"/>
        </w:rPr>
        <w:t xml:space="preserve">Ingresos por Impuesto Directo a los Hidrocarburos (IDH) </w:t>
      </w:r>
    </w:p>
    <w:p w:rsidR="00696C38" w:rsidRPr="006B3E2F" w:rsidRDefault="00696C38" w:rsidP="00696C38">
      <w:pPr>
        <w:spacing w:after="0" w:line="240" w:lineRule="auto"/>
        <w:jc w:val="center"/>
        <w:rPr>
          <w:rFonts w:ascii="Arial" w:hAnsi="Arial" w:cs="Arial"/>
          <w:b/>
          <w:sz w:val="24"/>
          <w:szCs w:val="24"/>
          <w:lang w:val="es-BO"/>
        </w:rPr>
      </w:pPr>
      <w:r w:rsidRPr="006B3E2F">
        <w:rPr>
          <w:rFonts w:ascii="Arial" w:hAnsi="Arial" w:cs="Arial"/>
          <w:b/>
          <w:sz w:val="24"/>
          <w:szCs w:val="24"/>
          <w:lang w:val="es-BO"/>
        </w:rPr>
        <w:t>por el Estado Plurinacional de Bolivia</w:t>
      </w:r>
    </w:p>
    <w:p w:rsidR="00696C38" w:rsidRPr="006B3E2F" w:rsidRDefault="00696C38" w:rsidP="00696C38">
      <w:pPr>
        <w:spacing w:after="0" w:line="240" w:lineRule="auto"/>
        <w:jc w:val="center"/>
        <w:rPr>
          <w:rFonts w:ascii="Arial" w:hAnsi="Arial" w:cs="Arial"/>
          <w:b/>
          <w:sz w:val="24"/>
          <w:szCs w:val="24"/>
          <w:lang w:val="es-BO"/>
        </w:rPr>
      </w:pPr>
      <w:r w:rsidRPr="006B3E2F">
        <w:rPr>
          <w:rFonts w:ascii="Arial" w:hAnsi="Arial" w:cs="Arial"/>
          <w:b/>
          <w:sz w:val="24"/>
          <w:szCs w:val="24"/>
          <w:lang w:val="es-BO"/>
        </w:rPr>
        <w:t>Periodo: 2008-2016.</w:t>
      </w:r>
    </w:p>
    <w:p w:rsidR="00696C38" w:rsidRPr="006B3E2F" w:rsidRDefault="00696C38" w:rsidP="00696C38">
      <w:pPr>
        <w:spacing w:after="0" w:line="240" w:lineRule="auto"/>
        <w:jc w:val="center"/>
        <w:rPr>
          <w:rFonts w:ascii="Arial" w:hAnsi="Arial" w:cs="Arial"/>
          <w:b/>
          <w:sz w:val="24"/>
          <w:szCs w:val="24"/>
          <w:lang w:val="es-BO"/>
        </w:rPr>
      </w:pPr>
      <w:r w:rsidRPr="006B3E2F">
        <w:rPr>
          <w:rFonts w:ascii="Arial" w:hAnsi="Arial" w:cs="Arial"/>
          <w:b/>
          <w:sz w:val="24"/>
          <w:szCs w:val="24"/>
          <w:lang w:val="es-BO"/>
        </w:rPr>
        <w:t>(En Millones de Bs.)</w:t>
      </w:r>
    </w:p>
    <w:p w:rsidR="004F361F" w:rsidRDefault="00696C38" w:rsidP="00D074AF">
      <w:pPr>
        <w:spacing w:after="0" w:line="240" w:lineRule="auto"/>
        <w:jc w:val="center"/>
        <w:rPr>
          <w:rFonts w:ascii="Times New Roman" w:hAnsi="Times New Roman" w:cs="Times New Roman"/>
          <w:sz w:val="24"/>
          <w:szCs w:val="24"/>
          <w:lang w:val="es-BO"/>
        </w:rPr>
      </w:pPr>
      <w:r>
        <w:rPr>
          <w:noProof/>
          <w:lang w:val="es-ES" w:eastAsia="es-ES"/>
        </w:rPr>
        <w:drawing>
          <wp:inline distT="0" distB="0" distL="0" distR="0" wp14:anchorId="0895D1E9" wp14:editId="54051E57">
            <wp:extent cx="5314950" cy="230505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361F" w:rsidRPr="00696C38" w:rsidRDefault="00696C38" w:rsidP="003863ED">
      <w:pPr>
        <w:spacing w:after="0" w:line="240" w:lineRule="auto"/>
        <w:jc w:val="both"/>
        <w:rPr>
          <w:rFonts w:ascii="Times New Roman" w:hAnsi="Times New Roman" w:cs="Times New Roman"/>
          <w:lang w:val="es-BO"/>
        </w:rPr>
      </w:pPr>
      <w:r w:rsidRPr="00696C38">
        <w:rPr>
          <w:rFonts w:ascii="Times New Roman" w:hAnsi="Times New Roman" w:cs="Times New Roman"/>
          <w:lang w:val="es-BO"/>
        </w:rPr>
        <w:tab/>
        <w:t>Fuente: Elaboración propia con información de</w:t>
      </w:r>
      <w:r>
        <w:rPr>
          <w:rFonts w:ascii="Times New Roman" w:hAnsi="Times New Roman" w:cs="Times New Roman"/>
          <w:lang w:val="es-BO"/>
        </w:rPr>
        <w:t xml:space="preserve"> </w:t>
      </w:r>
      <w:r w:rsidRPr="00696C38">
        <w:rPr>
          <w:rFonts w:ascii="Times New Roman" w:hAnsi="Times New Roman" w:cs="Times New Roman"/>
          <w:lang w:val="es-BO"/>
        </w:rPr>
        <w:t>Nueva Economía, diciembre de 2016.</w:t>
      </w:r>
    </w:p>
    <w:p w:rsidR="004F361F" w:rsidRDefault="004F361F" w:rsidP="003863ED">
      <w:pPr>
        <w:spacing w:after="0" w:line="240" w:lineRule="auto"/>
        <w:jc w:val="both"/>
        <w:rPr>
          <w:rFonts w:ascii="Times New Roman" w:hAnsi="Times New Roman" w:cs="Times New Roman"/>
          <w:sz w:val="24"/>
          <w:szCs w:val="24"/>
          <w:lang w:val="es-BO"/>
        </w:rPr>
      </w:pPr>
    </w:p>
    <w:p w:rsidR="00696C38" w:rsidRPr="006B3E2F" w:rsidRDefault="00696C38"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 xml:space="preserve">En el Gráfico anterior podemos apreciar la drástica disminución de los ingresos percibidos por concepto de IDH en la gestión 2016, el mismo que se debe a la disminución de los precios internacionales del petróleo WTI (43,34 $us/Barril en 2016). Se estima que este </w:t>
      </w:r>
      <w:r w:rsidRPr="006B3E2F">
        <w:rPr>
          <w:rFonts w:ascii="Arial" w:hAnsi="Arial" w:cs="Arial"/>
          <w:sz w:val="24"/>
          <w:szCs w:val="24"/>
          <w:lang w:val="es-BO"/>
        </w:rPr>
        <w:lastRenderedPageBreak/>
        <w:t>precio, por opinión de expertos, tiene grandes posibilidades de sobrepasar los 60 $us/Barril, lo que nos muestra un escenario algo más favorable</w:t>
      </w:r>
      <w:r w:rsidR="00772343" w:rsidRPr="006B3E2F">
        <w:rPr>
          <w:rFonts w:ascii="Arial" w:hAnsi="Arial" w:cs="Arial"/>
          <w:sz w:val="24"/>
          <w:szCs w:val="24"/>
          <w:lang w:val="es-BO"/>
        </w:rPr>
        <w:t xml:space="preserve"> para los próximos años.</w:t>
      </w:r>
    </w:p>
    <w:p w:rsidR="00772343" w:rsidRPr="006B3E2F" w:rsidRDefault="00772343" w:rsidP="003863ED">
      <w:pPr>
        <w:spacing w:after="0" w:line="240" w:lineRule="auto"/>
        <w:jc w:val="both"/>
        <w:rPr>
          <w:rFonts w:ascii="Arial" w:hAnsi="Arial" w:cs="Arial"/>
          <w:sz w:val="24"/>
          <w:szCs w:val="24"/>
          <w:lang w:val="es-BO"/>
        </w:rPr>
      </w:pPr>
    </w:p>
    <w:p w:rsidR="00696C38" w:rsidRPr="006B3E2F" w:rsidRDefault="00772343"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De forma conservadora, se tomará el mismo ingreso de la gestión 2016 para realizar la proyección de los ingresos de IDH para el periodo 2017-2021.</w:t>
      </w:r>
    </w:p>
    <w:p w:rsidR="00696C38" w:rsidRPr="006B3E2F" w:rsidRDefault="00696C38" w:rsidP="003863ED">
      <w:pPr>
        <w:spacing w:after="0" w:line="240" w:lineRule="auto"/>
        <w:jc w:val="both"/>
        <w:rPr>
          <w:rFonts w:ascii="Arial" w:hAnsi="Arial" w:cs="Arial"/>
          <w:b/>
          <w:sz w:val="24"/>
          <w:szCs w:val="24"/>
          <w:lang w:val="es-BO"/>
        </w:rPr>
      </w:pPr>
    </w:p>
    <w:p w:rsidR="00696C38" w:rsidRPr="006B3E2F" w:rsidRDefault="00696C38" w:rsidP="003863ED">
      <w:pPr>
        <w:spacing w:after="0" w:line="240" w:lineRule="auto"/>
        <w:jc w:val="both"/>
        <w:rPr>
          <w:rFonts w:ascii="Arial" w:hAnsi="Arial" w:cs="Arial"/>
          <w:b/>
          <w:sz w:val="24"/>
          <w:szCs w:val="24"/>
          <w:lang w:val="es-BO"/>
        </w:rPr>
      </w:pPr>
    </w:p>
    <w:p w:rsidR="003863ED" w:rsidRPr="006B3E2F" w:rsidRDefault="00B15B01" w:rsidP="003863ED">
      <w:pPr>
        <w:spacing w:after="0" w:line="240" w:lineRule="auto"/>
        <w:jc w:val="both"/>
        <w:rPr>
          <w:rFonts w:ascii="Arial" w:hAnsi="Arial" w:cs="Arial"/>
          <w:b/>
          <w:sz w:val="24"/>
          <w:szCs w:val="24"/>
          <w:lang w:val="es-BO"/>
        </w:rPr>
      </w:pPr>
      <w:r w:rsidRPr="006B3E2F">
        <w:rPr>
          <w:rFonts w:ascii="Arial" w:hAnsi="Arial" w:cs="Arial"/>
          <w:b/>
          <w:sz w:val="24"/>
          <w:szCs w:val="24"/>
          <w:lang w:val="es-BO"/>
        </w:rPr>
        <w:t xml:space="preserve">Ingresos percibidos por las Universidades Públicas </w:t>
      </w:r>
    </w:p>
    <w:p w:rsidR="003863ED" w:rsidRPr="006B3E2F" w:rsidRDefault="003863ED" w:rsidP="003863ED">
      <w:pPr>
        <w:spacing w:after="0" w:line="240" w:lineRule="auto"/>
        <w:jc w:val="both"/>
        <w:rPr>
          <w:rFonts w:ascii="Arial" w:hAnsi="Arial" w:cs="Arial"/>
          <w:sz w:val="24"/>
          <w:szCs w:val="24"/>
          <w:lang w:val="es-BO"/>
        </w:rPr>
      </w:pPr>
    </w:p>
    <w:p w:rsidR="00B15B01" w:rsidRPr="006B3E2F" w:rsidRDefault="00B15B01"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Las Universidades Públicas del Sistema de la Universidad Boliviana (SUB), perciben ingresos de diferentes fuentes de financiamientos, los mismos que se presentan en el Cuadro:</w:t>
      </w:r>
    </w:p>
    <w:p w:rsidR="00B15B01" w:rsidRPr="006B3E2F" w:rsidRDefault="00B15B01" w:rsidP="003863ED">
      <w:pPr>
        <w:spacing w:after="0" w:line="240" w:lineRule="auto"/>
        <w:jc w:val="both"/>
        <w:rPr>
          <w:rFonts w:ascii="Arial" w:hAnsi="Arial" w:cs="Arial"/>
          <w:sz w:val="24"/>
          <w:szCs w:val="24"/>
          <w:lang w:val="es-BO"/>
        </w:rPr>
      </w:pPr>
    </w:p>
    <w:p w:rsidR="00B7070B" w:rsidRPr="001A05A8" w:rsidRDefault="00B7070B" w:rsidP="00B7070B">
      <w:pPr>
        <w:spacing w:after="0" w:line="240" w:lineRule="auto"/>
        <w:jc w:val="center"/>
        <w:rPr>
          <w:rFonts w:ascii="Arial" w:hAnsi="Arial" w:cs="Arial"/>
          <w:b/>
          <w:lang w:val="es-BO"/>
        </w:rPr>
      </w:pPr>
      <w:r w:rsidRPr="001A05A8">
        <w:rPr>
          <w:rFonts w:ascii="Arial" w:hAnsi="Arial" w:cs="Arial"/>
          <w:b/>
          <w:lang w:val="es-BO"/>
        </w:rPr>
        <w:t>Cuadro A2.2</w:t>
      </w:r>
    </w:p>
    <w:p w:rsidR="00B7070B" w:rsidRPr="001A05A8" w:rsidRDefault="00B7070B" w:rsidP="00B7070B">
      <w:pPr>
        <w:spacing w:after="0" w:line="240" w:lineRule="auto"/>
        <w:jc w:val="center"/>
        <w:rPr>
          <w:rFonts w:ascii="Arial" w:hAnsi="Arial" w:cs="Arial"/>
          <w:b/>
          <w:lang w:val="es-BO"/>
        </w:rPr>
      </w:pPr>
      <w:r w:rsidRPr="001A05A8">
        <w:rPr>
          <w:rFonts w:ascii="Arial" w:hAnsi="Arial" w:cs="Arial"/>
          <w:b/>
          <w:lang w:val="es-BO"/>
        </w:rPr>
        <w:t>Estructura de Financiamiento de las Universidades Públicas del SUB</w:t>
      </w:r>
    </w:p>
    <w:tbl>
      <w:tblPr>
        <w:tblW w:w="9360" w:type="dxa"/>
        <w:tblCellMar>
          <w:left w:w="0" w:type="dxa"/>
          <w:right w:w="0" w:type="dxa"/>
        </w:tblCellMar>
        <w:tblLook w:val="0600" w:firstRow="0" w:lastRow="0" w:firstColumn="0" w:lastColumn="0" w:noHBand="1" w:noVBand="1"/>
      </w:tblPr>
      <w:tblGrid>
        <w:gridCol w:w="4600"/>
        <w:gridCol w:w="4760"/>
      </w:tblGrid>
      <w:tr w:rsidR="00B15B01" w:rsidRPr="001A05A8" w:rsidTr="00D074AF">
        <w:trPr>
          <w:trHeight w:hRule="exact" w:val="340"/>
        </w:trPr>
        <w:tc>
          <w:tcPr>
            <w:tcW w:w="460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15" w:type="dxa"/>
              <w:left w:w="70" w:type="dxa"/>
              <w:bottom w:w="0" w:type="dxa"/>
              <w:right w:w="70" w:type="dxa"/>
            </w:tcMar>
            <w:vAlign w:val="center"/>
            <w:hideMark/>
          </w:tcPr>
          <w:p w:rsidR="00B15B01" w:rsidRPr="001A05A8" w:rsidRDefault="00B15B01" w:rsidP="00B15B01">
            <w:pPr>
              <w:spacing w:after="0" w:line="240" w:lineRule="auto"/>
              <w:jc w:val="center"/>
              <w:rPr>
                <w:rFonts w:ascii="Arial" w:hAnsi="Arial" w:cs="Arial"/>
              </w:rPr>
            </w:pPr>
            <w:r w:rsidRPr="001A05A8">
              <w:rPr>
                <w:rFonts w:ascii="Arial" w:hAnsi="Arial" w:cs="Arial"/>
                <w:b/>
                <w:bCs/>
                <w:lang w:val="es-ES"/>
              </w:rPr>
              <w:t>Recurso</w:t>
            </w:r>
          </w:p>
        </w:tc>
        <w:tc>
          <w:tcPr>
            <w:tcW w:w="476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15" w:type="dxa"/>
              <w:left w:w="70" w:type="dxa"/>
              <w:bottom w:w="0" w:type="dxa"/>
              <w:right w:w="70" w:type="dxa"/>
            </w:tcMar>
            <w:vAlign w:val="center"/>
            <w:hideMark/>
          </w:tcPr>
          <w:p w:rsidR="00B15B01" w:rsidRPr="001A05A8" w:rsidRDefault="00B15B01" w:rsidP="00B15B01">
            <w:pPr>
              <w:spacing w:after="0" w:line="240" w:lineRule="auto"/>
              <w:jc w:val="center"/>
              <w:rPr>
                <w:rFonts w:ascii="Arial" w:hAnsi="Arial" w:cs="Arial"/>
              </w:rPr>
            </w:pPr>
            <w:r w:rsidRPr="001A05A8">
              <w:rPr>
                <w:rFonts w:ascii="Arial" w:hAnsi="Arial" w:cs="Arial"/>
                <w:b/>
                <w:bCs/>
                <w:lang w:val="es-ES"/>
              </w:rPr>
              <w:t>Origen</w:t>
            </w:r>
          </w:p>
        </w:tc>
      </w:tr>
      <w:tr w:rsidR="00B15B01" w:rsidRPr="001A05A8" w:rsidTr="00D074AF">
        <w:trPr>
          <w:trHeight w:hRule="exact" w:val="340"/>
        </w:trPr>
        <w:tc>
          <w:tcPr>
            <w:tcW w:w="4600" w:type="dxa"/>
            <w:tcBorders>
              <w:top w:val="single" w:sz="4" w:space="0" w:color="auto"/>
              <w:left w:val="single" w:sz="4" w:space="0" w:color="auto"/>
              <w:bottom w:val="single" w:sz="4" w:space="0" w:color="auto"/>
              <w:right w:val="single" w:sz="4" w:space="0" w:color="auto"/>
            </w:tcBorders>
            <w:shd w:val="clear" w:color="auto" w:fill="FFFF00"/>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 xml:space="preserve">  I. Financiamiento Público</w:t>
            </w:r>
          </w:p>
        </w:tc>
        <w:tc>
          <w:tcPr>
            <w:tcW w:w="4760" w:type="dxa"/>
            <w:tcBorders>
              <w:top w:val="single" w:sz="4" w:space="0" w:color="auto"/>
              <w:left w:val="single" w:sz="4" w:space="0" w:color="auto"/>
              <w:bottom w:val="single" w:sz="4" w:space="0" w:color="auto"/>
              <w:right w:val="single" w:sz="4" w:space="0" w:color="auto"/>
            </w:tcBorders>
            <w:shd w:val="clear" w:color="auto" w:fill="FFFF00"/>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 </w:t>
            </w:r>
          </w:p>
        </w:tc>
      </w:tr>
      <w:tr w:rsidR="00B15B01" w:rsidRPr="00B80977" w:rsidTr="00D074AF">
        <w:trPr>
          <w:trHeight w:hRule="exact" w:val="340"/>
        </w:trPr>
        <w:tc>
          <w:tcPr>
            <w:tcW w:w="4600" w:type="dxa"/>
            <w:tcBorders>
              <w:top w:val="single" w:sz="4" w:space="0" w:color="auto"/>
              <w:left w:val="single" w:sz="4" w:space="0" w:color="auto"/>
              <w:bottom w:val="single" w:sz="8" w:space="0" w:color="F3F3F3"/>
              <w:right w:val="single" w:sz="4" w:space="0" w:color="auto"/>
            </w:tcBorders>
            <w:shd w:val="clear" w:color="auto" w:fill="C5E0B3" w:themeFill="accent6" w:themeFillTint="66"/>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 xml:space="preserve">1. Subvención Ordinaria </w:t>
            </w:r>
          </w:p>
        </w:tc>
        <w:tc>
          <w:tcPr>
            <w:tcW w:w="4760" w:type="dxa"/>
            <w:tcBorders>
              <w:top w:val="single" w:sz="4" w:space="0" w:color="auto"/>
              <w:left w:val="single" w:sz="4" w:space="0" w:color="auto"/>
              <w:bottom w:val="single" w:sz="8" w:space="0" w:color="F3F3F3"/>
              <w:right w:val="single" w:sz="4" w:space="0" w:color="auto"/>
            </w:tcBorders>
            <w:shd w:val="clear" w:color="auto" w:fill="C5E0B3" w:themeFill="accent6" w:themeFillTint="66"/>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lang w:val="es-BO"/>
              </w:rPr>
            </w:pPr>
            <w:r w:rsidRPr="001A05A8">
              <w:rPr>
                <w:rFonts w:ascii="Arial" w:hAnsi="Arial" w:cs="Arial"/>
                <w:lang w:val="es-ES"/>
              </w:rPr>
              <w:t>Tesoro General de la Nación</w:t>
            </w:r>
          </w:p>
        </w:tc>
      </w:tr>
      <w:tr w:rsidR="00B15B01" w:rsidRPr="001A05A8" w:rsidTr="00D074AF">
        <w:trPr>
          <w:trHeight w:hRule="exact" w:val="340"/>
        </w:trPr>
        <w:tc>
          <w:tcPr>
            <w:tcW w:w="4600" w:type="dxa"/>
            <w:tcBorders>
              <w:top w:val="single" w:sz="8" w:space="0" w:color="F3F3F3"/>
              <w:left w:val="single" w:sz="4" w:space="0" w:color="auto"/>
              <w:bottom w:val="single" w:sz="8" w:space="0" w:color="F3F3F3"/>
              <w:right w:val="single" w:sz="4" w:space="0" w:color="auto"/>
            </w:tcBorders>
            <w:shd w:val="clear" w:color="auto" w:fill="C5E0B3" w:themeFill="accent6" w:themeFillTint="66"/>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2. Coparticipación Tributaria</w:t>
            </w:r>
          </w:p>
        </w:tc>
        <w:tc>
          <w:tcPr>
            <w:tcW w:w="4760" w:type="dxa"/>
            <w:tcBorders>
              <w:top w:val="single" w:sz="8" w:space="0" w:color="F3F3F3"/>
              <w:left w:val="single" w:sz="4" w:space="0" w:color="auto"/>
              <w:bottom w:val="single" w:sz="8" w:space="0" w:color="F3F3F3"/>
              <w:right w:val="single" w:sz="4" w:space="0" w:color="auto"/>
            </w:tcBorders>
            <w:shd w:val="clear" w:color="auto" w:fill="C5E0B3" w:themeFill="accent6" w:themeFillTint="66"/>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Ley Marco de Autonomías</w:t>
            </w:r>
          </w:p>
        </w:tc>
      </w:tr>
      <w:tr w:rsidR="00B15B01" w:rsidRPr="00B80977" w:rsidTr="00D074AF">
        <w:trPr>
          <w:trHeight w:hRule="exact" w:val="340"/>
        </w:trPr>
        <w:tc>
          <w:tcPr>
            <w:tcW w:w="4600" w:type="dxa"/>
            <w:tcBorders>
              <w:top w:val="single" w:sz="8" w:space="0" w:color="F3F3F3"/>
              <w:left w:val="single" w:sz="4" w:space="0" w:color="auto"/>
              <w:bottom w:val="single" w:sz="4" w:space="0" w:color="auto"/>
              <w:right w:val="single" w:sz="4" w:space="0" w:color="auto"/>
            </w:tcBorders>
            <w:shd w:val="clear" w:color="auto" w:fill="C5E0B3" w:themeFill="accent6" w:themeFillTint="66"/>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3. Impuesto Directo Hidrocarburos (IDH)</w:t>
            </w:r>
          </w:p>
        </w:tc>
        <w:tc>
          <w:tcPr>
            <w:tcW w:w="4760" w:type="dxa"/>
            <w:tcBorders>
              <w:top w:val="single" w:sz="8" w:space="0" w:color="F3F3F3"/>
              <w:left w:val="single" w:sz="4" w:space="0" w:color="auto"/>
              <w:bottom w:val="single" w:sz="4" w:space="0" w:color="auto"/>
              <w:right w:val="single" w:sz="4" w:space="0" w:color="auto"/>
            </w:tcBorders>
            <w:shd w:val="clear" w:color="auto" w:fill="C5E0B3" w:themeFill="accent6" w:themeFillTint="66"/>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lang w:val="es-BO"/>
              </w:rPr>
            </w:pPr>
            <w:r w:rsidRPr="001A05A8">
              <w:rPr>
                <w:rFonts w:ascii="Arial" w:hAnsi="Arial" w:cs="Arial"/>
                <w:lang w:val="es-ES"/>
              </w:rPr>
              <w:t>Ley 3058, DS. 28421; Ley 767 y D.S. 2830.</w:t>
            </w:r>
          </w:p>
        </w:tc>
      </w:tr>
      <w:tr w:rsidR="00B15B01" w:rsidRPr="001A05A8" w:rsidTr="00D074AF">
        <w:trPr>
          <w:trHeight w:hRule="exact" w:val="340"/>
        </w:trPr>
        <w:tc>
          <w:tcPr>
            <w:tcW w:w="4600" w:type="dxa"/>
            <w:tcBorders>
              <w:top w:val="single" w:sz="4" w:space="0" w:color="auto"/>
              <w:left w:val="single" w:sz="4" w:space="0" w:color="auto"/>
              <w:bottom w:val="single" w:sz="4" w:space="0" w:color="auto"/>
              <w:right w:val="single" w:sz="4" w:space="0" w:color="auto"/>
            </w:tcBorders>
            <w:shd w:val="clear" w:color="auto" w:fill="FFFF00"/>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 xml:space="preserve"> II. Recursos Propios</w:t>
            </w:r>
          </w:p>
        </w:tc>
        <w:tc>
          <w:tcPr>
            <w:tcW w:w="4760" w:type="dxa"/>
            <w:tcBorders>
              <w:top w:val="single" w:sz="4" w:space="0" w:color="auto"/>
              <w:left w:val="single" w:sz="4" w:space="0" w:color="auto"/>
              <w:bottom w:val="single" w:sz="4" w:space="0" w:color="auto"/>
              <w:right w:val="single" w:sz="4" w:space="0" w:color="auto"/>
            </w:tcBorders>
            <w:shd w:val="clear" w:color="auto" w:fill="FFFF00"/>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 </w:t>
            </w:r>
          </w:p>
        </w:tc>
      </w:tr>
      <w:tr w:rsidR="00B15B01" w:rsidRPr="001A05A8" w:rsidTr="00D074AF">
        <w:trPr>
          <w:trHeight w:hRule="exact" w:val="340"/>
        </w:trPr>
        <w:tc>
          <w:tcPr>
            <w:tcW w:w="4600" w:type="dxa"/>
            <w:tcBorders>
              <w:top w:val="single" w:sz="4" w:space="0" w:color="auto"/>
              <w:left w:val="single" w:sz="4" w:space="0" w:color="auto"/>
              <w:bottom w:val="single" w:sz="8" w:space="0" w:color="F3F3F3"/>
              <w:right w:val="single" w:sz="4" w:space="0" w:color="auto"/>
            </w:tcBorders>
            <w:shd w:val="clear" w:color="auto" w:fill="C5E0B3" w:themeFill="accent6" w:themeFillTint="66"/>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1. Tasas y Derechos</w:t>
            </w:r>
          </w:p>
        </w:tc>
        <w:tc>
          <w:tcPr>
            <w:tcW w:w="4760" w:type="dxa"/>
            <w:tcBorders>
              <w:top w:val="single" w:sz="4" w:space="0" w:color="auto"/>
              <w:left w:val="single" w:sz="4" w:space="0" w:color="auto"/>
              <w:bottom w:val="single" w:sz="8" w:space="0" w:color="F3F3F3"/>
              <w:right w:val="single" w:sz="4" w:space="0" w:color="auto"/>
            </w:tcBorders>
            <w:shd w:val="clear" w:color="auto" w:fill="C5E0B3" w:themeFill="accent6" w:themeFillTint="66"/>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Autonomía Universitaria</w:t>
            </w:r>
          </w:p>
        </w:tc>
      </w:tr>
      <w:tr w:rsidR="00B15B01" w:rsidRPr="001A05A8" w:rsidTr="00D074AF">
        <w:trPr>
          <w:trHeight w:hRule="exact" w:val="340"/>
        </w:trPr>
        <w:tc>
          <w:tcPr>
            <w:tcW w:w="4600" w:type="dxa"/>
            <w:tcBorders>
              <w:top w:val="single" w:sz="8" w:space="0" w:color="F3F3F3"/>
              <w:left w:val="single" w:sz="4" w:space="0" w:color="auto"/>
              <w:bottom w:val="single" w:sz="4" w:space="0" w:color="auto"/>
              <w:right w:val="single" w:sz="4" w:space="0" w:color="auto"/>
            </w:tcBorders>
            <w:shd w:val="clear" w:color="auto" w:fill="C5E0B3" w:themeFill="accent6" w:themeFillTint="66"/>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2. Recursos de Capital</w:t>
            </w:r>
          </w:p>
        </w:tc>
        <w:tc>
          <w:tcPr>
            <w:tcW w:w="4760" w:type="dxa"/>
            <w:tcBorders>
              <w:top w:val="single" w:sz="8" w:space="0" w:color="F3F3F3"/>
              <w:left w:val="single" w:sz="4" w:space="0" w:color="auto"/>
              <w:bottom w:val="single" w:sz="4" w:space="0" w:color="auto"/>
              <w:right w:val="single" w:sz="4" w:space="0" w:color="auto"/>
            </w:tcBorders>
            <w:shd w:val="clear" w:color="auto" w:fill="C5E0B3" w:themeFill="accent6" w:themeFillTint="66"/>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Autonomía Universitaria</w:t>
            </w:r>
          </w:p>
        </w:tc>
      </w:tr>
      <w:tr w:rsidR="00B15B01" w:rsidRPr="001A05A8" w:rsidTr="00D074AF">
        <w:trPr>
          <w:trHeight w:hRule="exact" w:val="340"/>
        </w:trPr>
        <w:tc>
          <w:tcPr>
            <w:tcW w:w="4600" w:type="dxa"/>
            <w:tcBorders>
              <w:top w:val="single" w:sz="4" w:space="0" w:color="auto"/>
              <w:left w:val="single" w:sz="4" w:space="0" w:color="auto"/>
              <w:bottom w:val="single" w:sz="4" w:space="0" w:color="auto"/>
              <w:right w:val="single" w:sz="4" w:space="0" w:color="auto"/>
            </w:tcBorders>
            <w:shd w:val="clear" w:color="auto" w:fill="FFFF00"/>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III. Préstamos (Aut. Legislativa)</w:t>
            </w:r>
          </w:p>
        </w:tc>
        <w:tc>
          <w:tcPr>
            <w:tcW w:w="4760" w:type="dxa"/>
            <w:tcBorders>
              <w:top w:val="single" w:sz="4" w:space="0" w:color="auto"/>
              <w:left w:val="single" w:sz="4" w:space="0" w:color="auto"/>
              <w:bottom w:val="single" w:sz="4" w:space="0" w:color="auto"/>
              <w:right w:val="single" w:sz="4" w:space="0" w:color="auto"/>
            </w:tcBorders>
            <w:shd w:val="clear" w:color="auto" w:fill="FFFF00"/>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 Autonomía Universitaria</w:t>
            </w:r>
          </w:p>
        </w:tc>
      </w:tr>
      <w:tr w:rsidR="00B15B01" w:rsidRPr="001A05A8" w:rsidTr="00D074AF">
        <w:trPr>
          <w:trHeight w:hRule="exact" w:val="340"/>
        </w:trPr>
        <w:tc>
          <w:tcPr>
            <w:tcW w:w="4600" w:type="dxa"/>
            <w:tcBorders>
              <w:top w:val="single" w:sz="4" w:space="0" w:color="auto"/>
              <w:left w:val="single" w:sz="4" w:space="0" w:color="auto"/>
              <w:bottom w:val="single" w:sz="4" w:space="0" w:color="auto"/>
              <w:right w:val="single" w:sz="4" w:space="0" w:color="auto"/>
            </w:tcBorders>
            <w:shd w:val="clear" w:color="auto" w:fill="FFFF00"/>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IV. Donaciones</w:t>
            </w:r>
          </w:p>
        </w:tc>
        <w:tc>
          <w:tcPr>
            <w:tcW w:w="4760" w:type="dxa"/>
            <w:tcBorders>
              <w:top w:val="single" w:sz="4" w:space="0" w:color="auto"/>
              <w:left w:val="single" w:sz="4" w:space="0" w:color="auto"/>
              <w:bottom w:val="single" w:sz="4" w:space="0" w:color="auto"/>
              <w:right w:val="single" w:sz="4" w:space="0" w:color="auto"/>
            </w:tcBorders>
            <w:shd w:val="clear" w:color="auto" w:fill="FFFF00"/>
            <w:tcMar>
              <w:top w:w="15" w:type="dxa"/>
              <w:left w:w="70" w:type="dxa"/>
              <w:bottom w:w="0" w:type="dxa"/>
              <w:right w:w="70" w:type="dxa"/>
            </w:tcMar>
            <w:vAlign w:val="center"/>
            <w:hideMark/>
          </w:tcPr>
          <w:p w:rsidR="00B15B01" w:rsidRPr="001A05A8" w:rsidRDefault="00B15B01" w:rsidP="00B15B01">
            <w:pPr>
              <w:spacing w:after="0" w:line="240" w:lineRule="auto"/>
              <w:jc w:val="both"/>
              <w:rPr>
                <w:rFonts w:ascii="Arial" w:hAnsi="Arial" w:cs="Arial"/>
              </w:rPr>
            </w:pPr>
            <w:r w:rsidRPr="001A05A8">
              <w:rPr>
                <w:rFonts w:ascii="Arial" w:hAnsi="Arial" w:cs="Arial"/>
                <w:lang w:val="es-ES"/>
              </w:rPr>
              <w:t>Autonomía Universitaria</w:t>
            </w:r>
          </w:p>
        </w:tc>
      </w:tr>
    </w:tbl>
    <w:p w:rsidR="00B15B01" w:rsidRPr="001A05A8" w:rsidRDefault="00B7070B" w:rsidP="003863ED">
      <w:pPr>
        <w:spacing w:after="0" w:line="240" w:lineRule="auto"/>
        <w:jc w:val="both"/>
        <w:rPr>
          <w:rFonts w:ascii="Arial" w:hAnsi="Arial" w:cs="Arial"/>
          <w:lang w:val="es-BO"/>
        </w:rPr>
      </w:pPr>
      <w:r w:rsidRPr="001A05A8">
        <w:rPr>
          <w:rFonts w:ascii="Arial" w:hAnsi="Arial" w:cs="Arial"/>
          <w:lang w:val="es-BO"/>
        </w:rPr>
        <w:t>Fuente: Elaboración propia.</w:t>
      </w:r>
    </w:p>
    <w:p w:rsidR="00B7070B" w:rsidRDefault="00B7070B" w:rsidP="003863ED">
      <w:pPr>
        <w:spacing w:after="0" w:line="240" w:lineRule="auto"/>
        <w:jc w:val="both"/>
        <w:rPr>
          <w:rFonts w:ascii="Times New Roman" w:hAnsi="Times New Roman" w:cs="Times New Roman"/>
          <w:sz w:val="24"/>
          <w:szCs w:val="24"/>
          <w:lang w:val="es-BO"/>
        </w:rPr>
      </w:pPr>
    </w:p>
    <w:p w:rsidR="00B7070B" w:rsidRPr="006B3E2F" w:rsidRDefault="00B7070B"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En el Gráfico A2.3 se presenta la estructura de financiamiento porcentual de las universidades del SUB.</w:t>
      </w:r>
    </w:p>
    <w:p w:rsidR="00D074AF" w:rsidRDefault="00D074AF" w:rsidP="00B7070B">
      <w:pPr>
        <w:spacing w:after="0" w:line="240" w:lineRule="auto"/>
        <w:jc w:val="center"/>
        <w:rPr>
          <w:rFonts w:ascii="Arial" w:hAnsi="Arial" w:cs="Arial"/>
          <w:b/>
          <w:sz w:val="24"/>
          <w:szCs w:val="24"/>
          <w:lang w:val="es-BO"/>
        </w:rPr>
      </w:pPr>
    </w:p>
    <w:p w:rsidR="00B7070B" w:rsidRPr="006B3E2F" w:rsidRDefault="00B7070B" w:rsidP="00B7070B">
      <w:pPr>
        <w:spacing w:after="0" w:line="240" w:lineRule="auto"/>
        <w:jc w:val="center"/>
        <w:rPr>
          <w:rFonts w:ascii="Arial" w:hAnsi="Arial" w:cs="Arial"/>
          <w:b/>
          <w:sz w:val="24"/>
          <w:szCs w:val="24"/>
          <w:lang w:val="es-BO"/>
        </w:rPr>
      </w:pPr>
      <w:r w:rsidRPr="006B3E2F">
        <w:rPr>
          <w:rFonts w:ascii="Arial" w:hAnsi="Arial" w:cs="Arial"/>
          <w:b/>
          <w:sz w:val="24"/>
          <w:szCs w:val="24"/>
          <w:lang w:val="es-BO"/>
        </w:rPr>
        <w:t>Gráfico A2.3</w:t>
      </w:r>
    </w:p>
    <w:p w:rsidR="00B7070B" w:rsidRPr="006B3E2F" w:rsidRDefault="00B7070B" w:rsidP="00B7070B">
      <w:pPr>
        <w:spacing w:after="0" w:line="240" w:lineRule="auto"/>
        <w:jc w:val="center"/>
        <w:rPr>
          <w:rFonts w:ascii="Arial" w:hAnsi="Arial" w:cs="Arial"/>
          <w:b/>
          <w:sz w:val="24"/>
          <w:szCs w:val="24"/>
          <w:lang w:val="es-BO"/>
        </w:rPr>
      </w:pPr>
      <w:r w:rsidRPr="006B3E2F">
        <w:rPr>
          <w:rFonts w:ascii="Arial" w:hAnsi="Arial" w:cs="Arial"/>
          <w:b/>
          <w:sz w:val="24"/>
          <w:szCs w:val="24"/>
          <w:lang w:val="es-BO"/>
        </w:rPr>
        <w:t>Estructura de Financiamiento de las Universidades Pública del SUB</w:t>
      </w:r>
    </w:p>
    <w:p w:rsidR="00B7070B" w:rsidRPr="006B3E2F" w:rsidRDefault="00B7070B" w:rsidP="00B7070B">
      <w:pPr>
        <w:spacing w:after="0" w:line="240" w:lineRule="auto"/>
        <w:jc w:val="center"/>
        <w:rPr>
          <w:rFonts w:ascii="Arial" w:hAnsi="Arial" w:cs="Arial"/>
          <w:b/>
          <w:sz w:val="24"/>
          <w:szCs w:val="24"/>
          <w:lang w:val="es-BO"/>
        </w:rPr>
      </w:pPr>
      <w:r w:rsidRPr="006B3E2F">
        <w:rPr>
          <w:rFonts w:ascii="Arial" w:hAnsi="Arial" w:cs="Arial"/>
          <w:b/>
          <w:sz w:val="24"/>
          <w:szCs w:val="24"/>
          <w:lang w:val="es-BO"/>
        </w:rPr>
        <w:t>Gestión 2015</w:t>
      </w:r>
    </w:p>
    <w:p w:rsidR="00B7070B" w:rsidRDefault="00B7070B" w:rsidP="00B7070B">
      <w:pPr>
        <w:spacing w:after="0" w:line="240" w:lineRule="auto"/>
        <w:jc w:val="center"/>
        <w:rPr>
          <w:rFonts w:ascii="Times New Roman" w:hAnsi="Times New Roman" w:cs="Times New Roman"/>
          <w:sz w:val="24"/>
          <w:szCs w:val="24"/>
          <w:lang w:val="es-BO"/>
        </w:rPr>
      </w:pPr>
      <w:r>
        <w:rPr>
          <w:noProof/>
          <w:lang w:val="es-ES" w:eastAsia="es-ES"/>
        </w:rPr>
        <w:lastRenderedPageBreak/>
        <w:drawing>
          <wp:inline distT="0" distB="0" distL="0" distR="0" wp14:anchorId="2AE5585D" wp14:editId="12CCF96C">
            <wp:extent cx="4295775" cy="2514600"/>
            <wp:effectExtent l="0" t="0" r="9525"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15B01" w:rsidRPr="000A2FDF" w:rsidRDefault="004F361F" w:rsidP="003863ED">
      <w:pPr>
        <w:spacing w:after="0" w:line="240" w:lineRule="auto"/>
        <w:jc w:val="both"/>
        <w:rPr>
          <w:rFonts w:ascii="Times New Roman" w:hAnsi="Times New Roman" w:cs="Times New Roman"/>
          <w:sz w:val="24"/>
          <w:szCs w:val="24"/>
          <w:lang w:val="es-BO"/>
        </w:rPr>
      </w:pPr>
      <w:r>
        <w:rPr>
          <w:rFonts w:ascii="Times New Roman" w:hAnsi="Times New Roman" w:cs="Times New Roman"/>
          <w:sz w:val="24"/>
          <w:szCs w:val="24"/>
          <w:lang w:val="es-BO"/>
        </w:rPr>
        <w:tab/>
      </w:r>
      <w:r>
        <w:rPr>
          <w:rFonts w:ascii="Times New Roman" w:hAnsi="Times New Roman" w:cs="Times New Roman"/>
          <w:sz w:val="24"/>
          <w:szCs w:val="24"/>
          <w:lang w:val="es-BO"/>
        </w:rPr>
        <w:tab/>
        <w:t>Fuente: CEUB – Proyecto SUMA.</w:t>
      </w:r>
    </w:p>
    <w:p w:rsidR="003863ED" w:rsidRDefault="003863ED" w:rsidP="003863ED">
      <w:pPr>
        <w:spacing w:after="0" w:line="240" w:lineRule="auto"/>
        <w:jc w:val="both"/>
        <w:rPr>
          <w:rFonts w:ascii="Times New Roman" w:hAnsi="Times New Roman" w:cs="Times New Roman"/>
          <w:sz w:val="24"/>
          <w:szCs w:val="24"/>
          <w:lang w:val="es-BO"/>
        </w:rPr>
      </w:pPr>
    </w:p>
    <w:p w:rsidR="004F361F" w:rsidRPr="006B3E2F" w:rsidRDefault="004F361F"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En el Cuadro A2.3 se presenta los ingresos percibidos en la gestión 2015 por las universidades públicas del SUB.</w:t>
      </w:r>
    </w:p>
    <w:p w:rsidR="00920E5D" w:rsidRPr="006B3E2F" w:rsidRDefault="00920E5D" w:rsidP="003863ED">
      <w:pPr>
        <w:spacing w:after="0" w:line="240" w:lineRule="auto"/>
        <w:jc w:val="both"/>
        <w:rPr>
          <w:rFonts w:ascii="Arial" w:hAnsi="Arial" w:cs="Arial"/>
          <w:sz w:val="24"/>
          <w:szCs w:val="24"/>
          <w:lang w:val="es-BO"/>
        </w:rPr>
      </w:pPr>
    </w:p>
    <w:p w:rsidR="004F361F" w:rsidRPr="006B3E2F" w:rsidRDefault="00920E5D" w:rsidP="00920E5D">
      <w:pPr>
        <w:spacing w:after="0" w:line="240" w:lineRule="auto"/>
        <w:jc w:val="center"/>
        <w:rPr>
          <w:rFonts w:ascii="Arial" w:hAnsi="Arial" w:cs="Arial"/>
          <w:b/>
          <w:sz w:val="24"/>
          <w:szCs w:val="24"/>
          <w:lang w:val="es-BO"/>
        </w:rPr>
      </w:pPr>
      <w:r w:rsidRPr="006B3E2F">
        <w:rPr>
          <w:rFonts w:ascii="Arial" w:hAnsi="Arial" w:cs="Arial"/>
          <w:b/>
          <w:sz w:val="24"/>
          <w:szCs w:val="24"/>
          <w:lang w:val="es-BO"/>
        </w:rPr>
        <w:t>Cuadro A2.3</w:t>
      </w:r>
    </w:p>
    <w:p w:rsidR="00920E5D" w:rsidRPr="006B3E2F" w:rsidRDefault="00920E5D" w:rsidP="00920E5D">
      <w:pPr>
        <w:spacing w:after="0" w:line="240" w:lineRule="auto"/>
        <w:jc w:val="center"/>
        <w:rPr>
          <w:rFonts w:ascii="Arial" w:hAnsi="Arial" w:cs="Arial"/>
          <w:b/>
          <w:sz w:val="24"/>
          <w:szCs w:val="24"/>
          <w:lang w:val="es-BO"/>
        </w:rPr>
      </w:pPr>
      <w:r w:rsidRPr="006B3E2F">
        <w:rPr>
          <w:rFonts w:ascii="Arial" w:hAnsi="Arial" w:cs="Arial"/>
          <w:b/>
          <w:sz w:val="24"/>
          <w:szCs w:val="24"/>
          <w:lang w:val="es-BO"/>
        </w:rPr>
        <w:t>Ingresos Percibidos por las Universidades Públicas del SUB</w:t>
      </w:r>
    </w:p>
    <w:p w:rsidR="00920E5D" w:rsidRPr="006B3E2F" w:rsidRDefault="00920E5D" w:rsidP="00920E5D">
      <w:pPr>
        <w:spacing w:after="0" w:line="240" w:lineRule="auto"/>
        <w:jc w:val="center"/>
        <w:rPr>
          <w:rFonts w:ascii="Arial" w:hAnsi="Arial" w:cs="Arial"/>
          <w:b/>
          <w:sz w:val="24"/>
          <w:szCs w:val="24"/>
          <w:lang w:val="es-BO"/>
        </w:rPr>
      </w:pPr>
      <w:r w:rsidRPr="006B3E2F">
        <w:rPr>
          <w:rFonts w:ascii="Arial" w:hAnsi="Arial" w:cs="Arial"/>
          <w:b/>
          <w:sz w:val="24"/>
          <w:szCs w:val="24"/>
          <w:lang w:val="es-BO"/>
        </w:rPr>
        <w:t>Gestión 2015.</w:t>
      </w:r>
    </w:p>
    <w:p w:rsidR="00920E5D" w:rsidRPr="006B3E2F" w:rsidRDefault="00920E5D" w:rsidP="00920E5D">
      <w:pPr>
        <w:spacing w:after="0" w:line="240" w:lineRule="auto"/>
        <w:jc w:val="center"/>
        <w:rPr>
          <w:rFonts w:ascii="Arial" w:hAnsi="Arial" w:cs="Arial"/>
          <w:b/>
          <w:sz w:val="24"/>
          <w:szCs w:val="24"/>
          <w:lang w:val="es-BO"/>
        </w:rPr>
      </w:pPr>
      <w:r w:rsidRPr="006B3E2F">
        <w:rPr>
          <w:rFonts w:ascii="Arial" w:hAnsi="Arial" w:cs="Arial"/>
          <w:b/>
          <w:sz w:val="24"/>
          <w:szCs w:val="24"/>
          <w:lang w:val="es-BO"/>
        </w:rPr>
        <w:t>(En Bs.)</w:t>
      </w:r>
    </w:p>
    <w:tbl>
      <w:tblPr>
        <w:tblW w:w="9351" w:type="dxa"/>
        <w:tblLook w:val="04A0" w:firstRow="1" w:lastRow="0" w:firstColumn="1" w:lastColumn="0" w:noHBand="0" w:noVBand="1"/>
      </w:tblPr>
      <w:tblGrid>
        <w:gridCol w:w="1628"/>
        <w:gridCol w:w="1911"/>
        <w:gridCol w:w="1843"/>
        <w:gridCol w:w="1843"/>
        <w:gridCol w:w="2126"/>
      </w:tblGrid>
      <w:tr w:rsidR="00920E5D" w:rsidRPr="00920E5D" w:rsidTr="00920E5D">
        <w:trPr>
          <w:trHeight w:val="300"/>
        </w:trPr>
        <w:tc>
          <w:tcPr>
            <w:tcW w:w="1628"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920E5D" w:rsidRPr="00920E5D" w:rsidRDefault="00920E5D" w:rsidP="00920E5D">
            <w:pPr>
              <w:spacing w:after="0" w:line="240" w:lineRule="auto"/>
              <w:jc w:val="center"/>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UNIVERSIDAD</w:t>
            </w:r>
          </w:p>
        </w:tc>
        <w:tc>
          <w:tcPr>
            <w:tcW w:w="1911" w:type="dxa"/>
            <w:tcBorders>
              <w:top w:val="single" w:sz="4" w:space="0" w:color="auto"/>
              <w:left w:val="nil"/>
              <w:bottom w:val="single" w:sz="4" w:space="0" w:color="auto"/>
              <w:right w:val="single" w:sz="4" w:space="0" w:color="auto"/>
            </w:tcBorders>
            <w:shd w:val="clear" w:color="000000" w:fill="E7E6E6"/>
            <w:noWrap/>
            <w:vAlign w:val="bottom"/>
            <w:hideMark/>
          </w:tcPr>
          <w:p w:rsidR="00920E5D" w:rsidRPr="00920E5D" w:rsidRDefault="00920E5D" w:rsidP="00920E5D">
            <w:pPr>
              <w:spacing w:after="0" w:line="240" w:lineRule="auto"/>
              <w:jc w:val="center"/>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TGN</w:t>
            </w:r>
          </w:p>
        </w:tc>
        <w:tc>
          <w:tcPr>
            <w:tcW w:w="1843" w:type="dxa"/>
            <w:tcBorders>
              <w:top w:val="single" w:sz="4" w:space="0" w:color="auto"/>
              <w:left w:val="nil"/>
              <w:bottom w:val="single" w:sz="4" w:space="0" w:color="auto"/>
              <w:right w:val="single" w:sz="4" w:space="0" w:color="auto"/>
            </w:tcBorders>
            <w:shd w:val="clear" w:color="000000" w:fill="E7E6E6"/>
            <w:noWrap/>
            <w:vAlign w:val="bottom"/>
            <w:hideMark/>
          </w:tcPr>
          <w:p w:rsidR="00920E5D" w:rsidRPr="00920E5D" w:rsidRDefault="00920E5D" w:rsidP="00920E5D">
            <w:pPr>
              <w:spacing w:after="0" w:line="240" w:lineRule="auto"/>
              <w:jc w:val="center"/>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IDH</w:t>
            </w:r>
          </w:p>
        </w:tc>
        <w:tc>
          <w:tcPr>
            <w:tcW w:w="1843" w:type="dxa"/>
            <w:tcBorders>
              <w:top w:val="single" w:sz="4" w:space="0" w:color="auto"/>
              <w:left w:val="nil"/>
              <w:bottom w:val="single" w:sz="4" w:space="0" w:color="auto"/>
              <w:right w:val="single" w:sz="4" w:space="0" w:color="auto"/>
            </w:tcBorders>
            <w:shd w:val="clear" w:color="000000" w:fill="E7E6E6"/>
            <w:noWrap/>
            <w:vAlign w:val="bottom"/>
            <w:hideMark/>
          </w:tcPr>
          <w:p w:rsidR="00920E5D" w:rsidRPr="00920E5D" w:rsidRDefault="00920E5D" w:rsidP="00920E5D">
            <w:pPr>
              <w:spacing w:after="0" w:line="240" w:lineRule="auto"/>
              <w:jc w:val="center"/>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CPTB **</w:t>
            </w:r>
          </w:p>
        </w:tc>
        <w:tc>
          <w:tcPr>
            <w:tcW w:w="2126" w:type="dxa"/>
            <w:tcBorders>
              <w:top w:val="single" w:sz="4" w:space="0" w:color="auto"/>
              <w:left w:val="nil"/>
              <w:bottom w:val="single" w:sz="4" w:space="0" w:color="auto"/>
              <w:right w:val="single" w:sz="4" w:space="0" w:color="auto"/>
            </w:tcBorders>
            <w:shd w:val="clear" w:color="000000" w:fill="E7E6E6"/>
            <w:noWrap/>
            <w:vAlign w:val="bottom"/>
            <w:hideMark/>
          </w:tcPr>
          <w:p w:rsidR="00920E5D" w:rsidRPr="00920E5D" w:rsidRDefault="00920E5D" w:rsidP="00920E5D">
            <w:pPr>
              <w:spacing w:after="0" w:line="240" w:lineRule="auto"/>
              <w:jc w:val="center"/>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TOTAL</w:t>
            </w:r>
          </w:p>
        </w:tc>
      </w:tr>
      <w:tr w:rsidR="00920E5D" w:rsidRPr="00920E5D" w:rsidTr="00920E5D">
        <w:trPr>
          <w:trHeight w:val="227"/>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rPr>
                <w:rFonts w:ascii="Times New Roman" w:eastAsia="Times New Roman" w:hAnsi="Times New Roman" w:cs="Times New Roman"/>
                <w:b/>
                <w:color w:val="000000"/>
                <w:sz w:val="20"/>
                <w:szCs w:val="20"/>
              </w:rPr>
            </w:pPr>
            <w:r w:rsidRPr="00920E5D">
              <w:rPr>
                <w:rFonts w:ascii="Times New Roman" w:eastAsia="Times New Roman" w:hAnsi="Times New Roman" w:cs="Times New Roman"/>
                <w:b/>
                <w:color w:val="000000"/>
                <w:sz w:val="20"/>
                <w:szCs w:val="20"/>
              </w:rPr>
              <w:t>U.M.S.F.X.</w:t>
            </w:r>
          </w:p>
        </w:tc>
        <w:tc>
          <w:tcPr>
            <w:tcW w:w="1911"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93.100.400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69.773.385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130.456.518 </w:t>
            </w:r>
          </w:p>
        </w:tc>
        <w:tc>
          <w:tcPr>
            <w:tcW w:w="2126"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293.330.303 </w:t>
            </w:r>
          </w:p>
        </w:tc>
      </w:tr>
      <w:tr w:rsidR="00920E5D" w:rsidRPr="00920E5D" w:rsidTr="00920E5D">
        <w:trPr>
          <w:trHeight w:val="227"/>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rPr>
                <w:rFonts w:ascii="Times New Roman" w:eastAsia="Times New Roman" w:hAnsi="Times New Roman" w:cs="Times New Roman"/>
                <w:b/>
                <w:color w:val="000000"/>
                <w:sz w:val="20"/>
                <w:szCs w:val="20"/>
              </w:rPr>
            </w:pPr>
            <w:r w:rsidRPr="00920E5D">
              <w:rPr>
                <w:rFonts w:ascii="Times New Roman" w:eastAsia="Times New Roman" w:hAnsi="Times New Roman" w:cs="Times New Roman"/>
                <w:b/>
                <w:color w:val="000000"/>
                <w:sz w:val="20"/>
                <w:szCs w:val="20"/>
              </w:rPr>
              <w:t>U.M.S.A.</w:t>
            </w:r>
          </w:p>
        </w:tc>
        <w:tc>
          <w:tcPr>
            <w:tcW w:w="1911"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223.456.011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110.196.133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612.321.162 </w:t>
            </w:r>
          </w:p>
        </w:tc>
        <w:tc>
          <w:tcPr>
            <w:tcW w:w="2126"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945.973.306 </w:t>
            </w:r>
          </w:p>
        </w:tc>
      </w:tr>
      <w:tr w:rsidR="00920E5D" w:rsidRPr="00920E5D" w:rsidTr="00920E5D">
        <w:trPr>
          <w:trHeight w:val="227"/>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rPr>
                <w:rFonts w:ascii="Times New Roman" w:eastAsia="Times New Roman" w:hAnsi="Times New Roman" w:cs="Times New Roman"/>
                <w:b/>
                <w:color w:val="000000"/>
                <w:sz w:val="20"/>
                <w:szCs w:val="20"/>
              </w:rPr>
            </w:pPr>
            <w:r w:rsidRPr="00920E5D">
              <w:rPr>
                <w:rFonts w:ascii="Times New Roman" w:eastAsia="Times New Roman" w:hAnsi="Times New Roman" w:cs="Times New Roman"/>
                <w:b/>
                <w:color w:val="000000"/>
                <w:sz w:val="20"/>
                <w:szCs w:val="20"/>
              </w:rPr>
              <w:t>U.M.S.S.</w:t>
            </w:r>
          </w:p>
        </w:tc>
        <w:tc>
          <w:tcPr>
            <w:tcW w:w="1911"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158.336.277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113.636.707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397.627.065 </w:t>
            </w:r>
          </w:p>
        </w:tc>
        <w:tc>
          <w:tcPr>
            <w:tcW w:w="2126"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669.600.049 </w:t>
            </w:r>
          </w:p>
        </w:tc>
      </w:tr>
      <w:tr w:rsidR="00920E5D" w:rsidRPr="00920E5D" w:rsidTr="00920E5D">
        <w:trPr>
          <w:trHeight w:val="227"/>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rPr>
                <w:rFonts w:ascii="Times New Roman" w:eastAsia="Times New Roman" w:hAnsi="Times New Roman" w:cs="Times New Roman"/>
                <w:b/>
                <w:color w:val="000000"/>
                <w:sz w:val="20"/>
                <w:szCs w:val="20"/>
              </w:rPr>
            </w:pPr>
            <w:r w:rsidRPr="00920E5D">
              <w:rPr>
                <w:rFonts w:ascii="Times New Roman" w:eastAsia="Times New Roman" w:hAnsi="Times New Roman" w:cs="Times New Roman"/>
                <w:b/>
                <w:color w:val="000000"/>
                <w:sz w:val="20"/>
                <w:szCs w:val="20"/>
              </w:rPr>
              <w:t>U.A.G.R.M.</w:t>
            </w:r>
          </w:p>
        </w:tc>
        <w:tc>
          <w:tcPr>
            <w:tcW w:w="1911"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153.319.284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158.584.900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600.304.641 </w:t>
            </w:r>
          </w:p>
        </w:tc>
        <w:tc>
          <w:tcPr>
            <w:tcW w:w="2126"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912.208.825 </w:t>
            </w:r>
          </w:p>
        </w:tc>
      </w:tr>
      <w:tr w:rsidR="00920E5D" w:rsidRPr="00920E5D" w:rsidTr="00920E5D">
        <w:trPr>
          <w:trHeight w:val="227"/>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rPr>
                <w:rFonts w:ascii="Times New Roman" w:eastAsia="Times New Roman" w:hAnsi="Times New Roman" w:cs="Times New Roman"/>
                <w:b/>
                <w:color w:val="000000"/>
                <w:sz w:val="20"/>
                <w:szCs w:val="20"/>
              </w:rPr>
            </w:pPr>
            <w:r w:rsidRPr="00920E5D">
              <w:rPr>
                <w:rFonts w:ascii="Times New Roman" w:eastAsia="Times New Roman" w:hAnsi="Times New Roman" w:cs="Times New Roman"/>
                <w:b/>
                <w:color w:val="000000"/>
                <w:sz w:val="20"/>
                <w:szCs w:val="20"/>
              </w:rPr>
              <w:t>U.A.T.F.</w:t>
            </w:r>
          </w:p>
        </w:tc>
        <w:tc>
          <w:tcPr>
            <w:tcW w:w="1911"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42.069.546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43.957.232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159.887.256 </w:t>
            </w:r>
          </w:p>
        </w:tc>
        <w:tc>
          <w:tcPr>
            <w:tcW w:w="2126"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245.914.034 </w:t>
            </w:r>
          </w:p>
        </w:tc>
      </w:tr>
      <w:tr w:rsidR="00920E5D" w:rsidRPr="00920E5D" w:rsidTr="00920E5D">
        <w:trPr>
          <w:trHeight w:val="227"/>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rPr>
                <w:rFonts w:ascii="Times New Roman" w:eastAsia="Times New Roman" w:hAnsi="Times New Roman" w:cs="Times New Roman"/>
                <w:b/>
                <w:color w:val="000000"/>
                <w:sz w:val="20"/>
                <w:szCs w:val="20"/>
              </w:rPr>
            </w:pPr>
            <w:r w:rsidRPr="00920E5D">
              <w:rPr>
                <w:rFonts w:ascii="Times New Roman" w:eastAsia="Times New Roman" w:hAnsi="Times New Roman" w:cs="Times New Roman"/>
                <w:b/>
                <w:color w:val="000000"/>
                <w:sz w:val="20"/>
                <w:szCs w:val="20"/>
              </w:rPr>
              <w:t>U.T.O.</w:t>
            </w:r>
          </w:p>
        </w:tc>
        <w:tc>
          <w:tcPr>
            <w:tcW w:w="1911"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62.611.553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69.773.385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111.728.119 </w:t>
            </w:r>
          </w:p>
        </w:tc>
        <w:tc>
          <w:tcPr>
            <w:tcW w:w="2126"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244.113.057 </w:t>
            </w:r>
          </w:p>
        </w:tc>
      </w:tr>
      <w:tr w:rsidR="00920E5D" w:rsidRPr="00920E5D" w:rsidTr="00920E5D">
        <w:trPr>
          <w:trHeight w:val="227"/>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rPr>
                <w:rFonts w:ascii="Times New Roman" w:eastAsia="Times New Roman" w:hAnsi="Times New Roman" w:cs="Times New Roman"/>
                <w:b/>
                <w:color w:val="000000"/>
                <w:sz w:val="20"/>
                <w:szCs w:val="20"/>
              </w:rPr>
            </w:pPr>
            <w:r w:rsidRPr="00920E5D">
              <w:rPr>
                <w:rFonts w:ascii="Times New Roman" w:eastAsia="Times New Roman" w:hAnsi="Times New Roman" w:cs="Times New Roman"/>
                <w:b/>
                <w:color w:val="000000"/>
                <w:sz w:val="20"/>
                <w:szCs w:val="20"/>
              </w:rPr>
              <w:t>U.A.J.M.S.</w:t>
            </w:r>
          </w:p>
        </w:tc>
        <w:tc>
          <w:tcPr>
            <w:tcW w:w="1911"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49.047.794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93.409.573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109.057.230 </w:t>
            </w:r>
          </w:p>
        </w:tc>
        <w:tc>
          <w:tcPr>
            <w:tcW w:w="2126"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251.514.597 </w:t>
            </w:r>
          </w:p>
        </w:tc>
      </w:tr>
      <w:tr w:rsidR="00920E5D" w:rsidRPr="00920E5D" w:rsidTr="00920E5D">
        <w:trPr>
          <w:trHeight w:val="227"/>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rPr>
                <w:rFonts w:ascii="Times New Roman" w:eastAsia="Times New Roman" w:hAnsi="Times New Roman" w:cs="Times New Roman"/>
                <w:b/>
                <w:color w:val="000000"/>
                <w:sz w:val="20"/>
                <w:szCs w:val="20"/>
              </w:rPr>
            </w:pPr>
            <w:r w:rsidRPr="00920E5D">
              <w:rPr>
                <w:rFonts w:ascii="Times New Roman" w:eastAsia="Times New Roman" w:hAnsi="Times New Roman" w:cs="Times New Roman"/>
                <w:b/>
                <w:color w:val="000000"/>
                <w:sz w:val="20"/>
                <w:szCs w:val="20"/>
              </w:rPr>
              <w:t>U.A.B.J.B.</w:t>
            </w:r>
          </w:p>
        </w:tc>
        <w:tc>
          <w:tcPr>
            <w:tcW w:w="1911"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41.130.790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69.773.385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95.246.839 </w:t>
            </w:r>
          </w:p>
        </w:tc>
        <w:tc>
          <w:tcPr>
            <w:tcW w:w="2126"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206.151.014 </w:t>
            </w:r>
          </w:p>
        </w:tc>
      </w:tr>
      <w:tr w:rsidR="00920E5D" w:rsidRPr="00920E5D" w:rsidTr="00920E5D">
        <w:trPr>
          <w:trHeight w:val="227"/>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rPr>
                <w:rFonts w:ascii="Times New Roman" w:eastAsia="Times New Roman" w:hAnsi="Times New Roman" w:cs="Times New Roman"/>
                <w:b/>
                <w:color w:val="000000"/>
                <w:sz w:val="20"/>
                <w:szCs w:val="20"/>
              </w:rPr>
            </w:pPr>
            <w:r w:rsidRPr="00920E5D">
              <w:rPr>
                <w:rFonts w:ascii="Times New Roman" w:eastAsia="Times New Roman" w:hAnsi="Times New Roman" w:cs="Times New Roman"/>
                <w:b/>
                <w:color w:val="000000"/>
                <w:sz w:val="20"/>
                <w:szCs w:val="20"/>
              </w:rPr>
              <w:t>U.N.S.XX.</w:t>
            </w:r>
          </w:p>
        </w:tc>
        <w:tc>
          <w:tcPr>
            <w:tcW w:w="1911"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19.589.371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25.816.153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26.461.527 </w:t>
            </w:r>
          </w:p>
        </w:tc>
        <w:tc>
          <w:tcPr>
            <w:tcW w:w="2126"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71.867.051 </w:t>
            </w:r>
          </w:p>
        </w:tc>
      </w:tr>
      <w:tr w:rsidR="00920E5D" w:rsidRPr="00920E5D" w:rsidTr="00920E5D">
        <w:trPr>
          <w:trHeight w:val="227"/>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rPr>
                <w:rFonts w:ascii="Times New Roman" w:eastAsia="Times New Roman" w:hAnsi="Times New Roman" w:cs="Times New Roman"/>
                <w:b/>
                <w:color w:val="000000"/>
                <w:sz w:val="20"/>
                <w:szCs w:val="20"/>
              </w:rPr>
            </w:pPr>
            <w:r w:rsidRPr="00920E5D">
              <w:rPr>
                <w:rFonts w:ascii="Times New Roman" w:eastAsia="Times New Roman" w:hAnsi="Times New Roman" w:cs="Times New Roman"/>
                <w:b/>
                <w:color w:val="000000"/>
                <w:sz w:val="20"/>
                <w:szCs w:val="20"/>
              </w:rPr>
              <w:t>U.A.P.</w:t>
            </w:r>
          </w:p>
        </w:tc>
        <w:tc>
          <w:tcPr>
            <w:tcW w:w="1911"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10.300.907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69.773.385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24.964.570 </w:t>
            </w:r>
          </w:p>
        </w:tc>
        <w:tc>
          <w:tcPr>
            <w:tcW w:w="2126"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105.038.862 </w:t>
            </w:r>
          </w:p>
        </w:tc>
      </w:tr>
      <w:tr w:rsidR="00920E5D" w:rsidRPr="00920E5D" w:rsidTr="00920E5D">
        <w:trPr>
          <w:trHeight w:val="227"/>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rPr>
                <w:rFonts w:ascii="Times New Roman" w:eastAsia="Times New Roman" w:hAnsi="Times New Roman" w:cs="Times New Roman"/>
                <w:b/>
                <w:color w:val="000000"/>
                <w:sz w:val="20"/>
                <w:szCs w:val="20"/>
              </w:rPr>
            </w:pPr>
            <w:r w:rsidRPr="00920E5D">
              <w:rPr>
                <w:rFonts w:ascii="Times New Roman" w:eastAsia="Times New Roman" w:hAnsi="Times New Roman" w:cs="Times New Roman"/>
                <w:b/>
                <w:color w:val="000000"/>
                <w:sz w:val="20"/>
                <w:szCs w:val="20"/>
              </w:rPr>
              <w:t>U.P.E.A.</w:t>
            </w:r>
          </w:p>
        </w:tc>
        <w:tc>
          <w:tcPr>
            <w:tcW w:w="1911"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63.760.883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45.915.054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162.262.819 </w:t>
            </w:r>
          </w:p>
        </w:tc>
        <w:tc>
          <w:tcPr>
            <w:tcW w:w="2126"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271.938.756 </w:t>
            </w:r>
          </w:p>
        </w:tc>
      </w:tr>
      <w:tr w:rsidR="00920E5D" w:rsidRPr="00920E5D" w:rsidTr="00920E5D">
        <w:trPr>
          <w:trHeight w:val="227"/>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rPr>
                <w:rFonts w:ascii="Times New Roman" w:eastAsia="Times New Roman" w:hAnsi="Times New Roman" w:cs="Times New Roman"/>
                <w:b/>
                <w:color w:val="000000"/>
                <w:sz w:val="20"/>
                <w:szCs w:val="20"/>
              </w:rPr>
            </w:pPr>
            <w:r w:rsidRPr="00920E5D">
              <w:rPr>
                <w:rFonts w:ascii="Times New Roman" w:eastAsia="Times New Roman" w:hAnsi="Times New Roman" w:cs="Times New Roman"/>
                <w:b/>
                <w:color w:val="000000"/>
                <w:sz w:val="20"/>
                <w:szCs w:val="20"/>
              </w:rPr>
              <w:t>C.E.U.B.</w:t>
            </w:r>
          </w:p>
        </w:tc>
        <w:tc>
          <w:tcPr>
            <w:tcW w:w="1911"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8.975.639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color w:val="000000"/>
                <w:sz w:val="20"/>
                <w:szCs w:val="20"/>
              </w:rPr>
            </w:pPr>
            <w:r w:rsidRPr="00920E5D">
              <w:rPr>
                <w:rFonts w:ascii="Times New Roman" w:eastAsia="Times New Roman" w:hAnsi="Times New Roman" w:cs="Times New Roman"/>
                <w:color w:val="000000"/>
                <w:sz w:val="20"/>
                <w:szCs w:val="20"/>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8.975.639 </w:t>
            </w:r>
          </w:p>
        </w:tc>
      </w:tr>
      <w:tr w:rsidR="00920E5D" w:rsidRPr="00920E5D" w:rsidTr="00920E5D">
        <w:trPr>
          <w:trHeight w:val="227"/>
        </w:trPr>
        <w:tc>
          <w:tcPr>
            <w:tcW w:w="1628" w:type="dxa"/>
            <w:tcBorders>
              <w:top w:val="nil"/>
              <w:left w:val="single" w:sz="4" w:space="0" w:color="auto"/>
              <w:bottom w:val="single" w:sz="4" w:space="0" w:color="auto"/>
              <w:right w:val="single" w:sz="4" w:space="0" w:color="auto"/>
            </w:tcBorders>
            <w:shd w:val="clear" w:color="000000" w:fill="E7E6E6"/>
            <w:noWrap/>
            <w:vAlign w:val="bottom"/>
            <w:hideMark/>
          </w:tcPr>
          <w:p w:rsidR="00920E5D" w:rsidRPr="00920E5D" w:rsidRDefault="00920E5D" w:rsidP="00920E5D">
            <w:pPr>
              <w:spacing w:after="0" w:line="240" w:lineRule="auto"/>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TOTAL</w:t>
            </w:r>
          </w:p>
        </w:tc>
        <w:tc>
          <w:tcPr>
            <w:tcW w:w="1911" w:type="dxa"/>
            <w:tcBorders>
              <w:top w:val="nil"/>
              <w:left w:val="nil"/>
              <w:bottom w:val="single" w:sz="4" w:space="0" w:color="auto"/>
              <w:right w:val="single" w:sz="4" w:space="0" w:color="auto"/>
            </w:tcBorders>
            <w:shd w:val="clear" w:color="000000" w:fill="E7E6E6"/>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925.698.455 </w:t>
            </w:r>
          </w:p>
        </w:tc>
        <w:tc>
          <w:tcPr>
            <w:tcW w:w="1843" w:type="dxa"/>
            <w:tcBorders>
              <w:top w:val="nil"/>
              <w:left w:val="nil"/>
              <w:bottom w:val="single" w:sz="4" w:space="0" w:color="auto"/>
              <w:right w:val="single" w:sz="4" w:space="0" w:color="auto"/>
            </w:tcBorders>
            <w:shd w:val="clear" w:color="000000" w:fill="E7E6E6"/>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870.609.292 </w:t>
            </w:r>
          </w:p>
        </w:tc>
        <w:tc>
          <w:tcPr>
            <w:tcW w:w="1843" w:type="dxa"/>
            <w:tcBorders>
              <w:top w:val="nil"/>
              <w:left w:val="nil"/>
              <w:bottom w:val="single" w:sz="4" w:space="0" w:color="auto"/>
              <w:right w:val="single" w:sz="4" w:space="0" w:color="auto"/>
            </w:tcBorders>
            <w:shd w:val="clear" w:color="000000" w:fill="E7E6E6"/>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925.698.455 </w:t>
            </w:r>
          </w:p>
        </w:tc>
        <w:tc>
          <w:tcPr>
            <w:tcW w:w="2126" w:type="dxa"/>
            <w:tcBorders>
              <w:top w:val="nil"/>
              <w:left w:val="nil"/>
              <w:bottom w:val="single" w:sz="4" w:space="0" w:color="auto"/>
              <w:right w:val="single" w:sz="4" w:space="0" w:color="auto"/>
            </w:tcBorders>
            <w:shd w:val="clear" w:color="000000" w:fill="E7E6E6"/>
            <w:noWrap/>
            <w:vAlign w:val="bottom"/>
            <w:hideMark/>
          </w:tcPr>
          <w:p w:rsidR="00920E5D" w:rsidRPr="00920E5D" w:rsidRDefault="00920E5D" w:rsidP="00920E5D">
            <w:pPr>
              <w:spacing w:after="0" w:line="240" w:lineRule="auto"/>
              <w:jc w:val="right"/>
              <w:rPr>
                <w:rFonts w:ascii="Times New Roman" w:eastAsia="Times New Roman" w:hAnsi="Times New Roman" w:cs="Times New Roman"/>
                <w:b/>
                <w:bCs/>
                <w:color w:val="000000"/>
                <w:sz w:val="20"/>
                <w:szCs w:val="20"/>
              </w:rPr>
            </w:pPr>
            <w:r w:rsidRPr="00920E5D">
              <w:rPr>
                <w:rFonts w:ascii="Times New Roman" w:eastAsia="Times New Roman" w:hAnsi="Times New Roman" w:cs="Times New Roman"/>
                <w:b/>
                <w:bCs/>
                <w:color w:val="000000"/>
                <w:sz w:val="20"/>
                <w:szCs w:val="20"/>
              </w:rPr>
              <w:t xml:space="preserve">         2.722.006.202 </w:t>
            </w:r>
          </w:p>
        </w:tc>
      </w:tr>
    </w:tbl>
    <w:p w:rsidR="00920E5D" w:rsidRPr="00D074AF" w:rsidRDefault="00920E5D" w:rsidP="003863ED">
      <w:pPr>
        <w:spacing w:after="0" w:line="240" w:lineRule="auto"/>
        <w:jc w:val="both"/>
        <w:rPr>
          <w:rFonts w:ascii="Arial" w:hAnsi="Arial" w:cs="Arial"/>
          <w:sz w:val="20"/>
          <w:szCs w:val="20"/>
          <w:lang w:val="es-BO"/>
        </w:rPr>
      </w:pPr>
      <w:r w:rsidRPr="00D074AF">
        <w:rPr>
          <w:rFonts w:ascii="Arial" w:hAnsi="Arial" w:cs="Arial"/>
          <w:sz w:val="20"/>
          <w:szCs w:val="20"/>
          <w:lang w:val="es-BO"/>
        </w:rPr>
        <w:t>Fuente: Comité Ejecutivo de la Universidad Boliviana (CEUB)</w:t>
      </w:r>
    </w:p>
    <w:p w:rsidR="00920E5D" w:rsidRPr="00D074AF" w:rsidRDefault="00B774E9" w:rsidP="003863ED">
      <w:pPr>
        <w:spacing w:after="0" w:line="240" w:lineRule="auto"/>
        <w:jc w:val="both"/>
        <w:rPr>
          <w:rFonts w:ascii="Arial" w:hAnsi="Arial" w:cs="Arial"/>
          <w:sz w:val="20"/>
          <w:szCs w:val="20"/>
          <w:lang w:val="es-BO"/>
        </w:rPr>
      </w:pPr>
      <w:r w:rsidRPr="00D074AF">
        <w:rPr>
          <w:rFonts w:ascii="Arial" w:hAnsi="Arial" w:cs="Arial"/>
          <w:sz w:val="20"/>
          <w:szCs w:val="20"/>
          <w:lang w:val="es-BO"/>
        </w:rPr>
        <w:t>Nota:</w:t>
      </w:r>
    </w:p>
    <w:p w:rsidR="00B774E9" w:rsidRPr="00D074AF" w:rsidRDefault="00B774E9" w:rsidP="00B774E9">
      <w:pPr>
        <w:spacing w:after="0" w:line="240" w:lineRule="auto"/>
        <w:ind w:firstLine="720"/>
        <w:jc w:val="both"/>
        <w:rPr>
          <w:rFonts w:ascii="Arial" w:hAnsi="Arial" w:cs="Arial"/>
          <w:sz w:val="20"/>
          <w:szCs w:val="20"/>
          <w:lang w:val="es-BO"/>
        </w:rPr>
      </w:pPr>
      <w:r w:rsidRPr="00D074AF">
        <w:rPr>
          <w:rFonts w:ascii="Arial" w:hAnsi="Arial" w:cs="Arial"/>
          <w:sz w:val="20"/>
          <w:szCs w:val="20"/>
          <w:lang w:val="es-BO"/>
        </w:rPr>
        <w:t>TGN:</w:t>
      </w:r>
      <w:r w:rsidRPr="00D074AF">
        <w:rPr>
          <w:rFonts w:ascii="Arial" w:hAnsi="Arial" w:cs="Arial"/>
          <w:sz w:val="20"/>
          <w:szCs w:val="20"/>
          <w:lang w:val="es-BO"/>
        </w:rPr>
        <w:tab/>
        <w:t>Tesoro General de la Nación.</w:t>
      </w:r>
    </w:p>
    <w:p w:rsidR="00B774E9" w:rsidRPr="00D074AF" w:rsidRDefault="00B774E9" w:rsidP="00B774E9">
      <w:pPr>
        <w:spacing w:after="0" w:line="240" w:lineRule="auto"/>
        <w:ind w:firstLine="720"/>
        <w:jc w:val="both"/>
        <w:rPr>
          <w:rFonts w:ascii="Arial" w:hAnsi="Arial" w:cs="Arial"/>
          <w:sz w:val="20"/>
          <w:szCs w:val="20"/>
          <w:lang w:val="es-BO"/>
        </w:rPr>
      </w:pPr>
      <w:r w:rsidRPr="00D074AF">
        <w:rPr>
          <w:rFonts w:ascii="Arial" w:hAnsi="Arial" w:cs="Arial"/>
          <w:sz w:val="20"/>
          <w:szCs w:val="20"/>
          <w:lang w:val="es-BO"/>
        </w:rPr>
        <w:t xml:space="preserve">IDH: </w:t>
      </w:r>
      <w:r w:rsidRPr="00D074AF">
        <w:rPr>
          <w:rFonts w:ascii="Arial" w:hAnsi="Arial" w:cs="Arial"/>
          <w:sz w:val="20"/>
          <w:szCs w:val="20"/>
          <w:lang w:val="es-BO"/>
        </w:rPr>
        <w:tab/>
        <w:t>Impuesto Directo a los Hidrocarburos</w:t>
      </w:r>
    </w:p>
    <w:p w:rsidR="00B774E9" w:rsidRPr="00D074AF" w:rsidRDefault="00B774E9" w:rsidP="00B774E9">
      <w:pPr>
        <w:spacing w:after="0" w:line="240" w:lineRule="auto"/>
        <w:ind w:firstLine="720"/>
        <w:jc w:val="both"/>
        <w:rPr>
          <w:rFonts w:ascii="Arial" w:hAnsi="Arial" w:cs="Arial"/>
          <w:sz w:val="20"/>
          <w:szCs w:val="20"/>
          <w:lang w:val="es-BO"/>
        </w:rPr>
      </w:pPr>
      <w:r w:rsidRPr="00D074AF">
        <w:rPr>
          <w:rFonts w:ascii="Arial" w:hAnsi="Arial" w:cs="Arial"/>
          <w:sz w:val="20"/>
          <w:szCs w:val="20"/>
          <w:lang w:val="es-BO"/>
        </w:rPr>
        <w:t>CPTB:</w:t>
      </w:r>
      <w:r w:rsidRPr="00D074AF">
        <w:rPr>
          <w:rFonts w:ascii="Arial" w:hAnsi="Arial" w:cs="Arial"/>
          <w:sz w:val="20"/>
          <w:szCs w:val="20"/>
          <w:lang w:val="es-BO"/>
        </w:rPr>
        <w:tab/>
        <w:t xml:space="preserve">Coparticipación Tributaria </w:t>
      </w:r>
    </w:p>
    <w:p w:rsidR="00B774E9" w:rsidRPr="00D074AF" w:rsidRDefault="00B774E9" w:rsidP="00B774E9">
      <w:pPr>
        <w:spacing w:after="0" w:line="240" w:lineRule="auto"/>
        <w:ind w:firstLine="720"/>
        <w:jc w:val="both"/>
        <w:rPr>
          <w:rFonts w:ascii="Arial" w:hAnsi="Arial" w:cs="Arial"/>
          <w:sz w:val="20"/>
          <w:szCs w:val="20"/>
          <w:lang w:val="es-BO"/>
        </w:rPr>
      </w:pPr>
      <w:r w:rsidRPr="00D074AF">
        <w:rPr>
          <w:rFonts w:ascii="Arial" w:hAnsi="Arial" w:cs="Arial"/>
          <w:sz w:val="20"/>
          <w:szCs w:val="20"/>
          <w:lang w:val="es-BO"/>
        </w:rPr>
        <w:t>(**) :</w:t>
      </w:r>
      <w:r w:rsidRPr="00D074AF">
        <w:rPr>
          <w:rFonts w:ascii="Arial" w:hAnsi="Arial" w:cs="Arial"/>
          <w:sz w:val="20"/>
          <w:szCs w:val="20"/>
          <w:lang w:val="es-BO"/>
        </w:rPr>
        <w:tab/>
        <w:t>Monto estimado en base a la recaudación de enero a octubre de 2015.</w:t>
      </w:r>
    </w:p>
    <w:p w:rsidR="00B774E9" w:rsidRPr="00D074AF" w:rsidRDefault="00B774E9" w:rsidP="003863ED">
      <w:pPr>
        <w:spacing w:after="0" w:line="240" w:lineRule="auto"/>
        <w:jc w:val="both"/>
        <w:rPr>
          <w:rFonts w:ascii="Arial" w:hAnsi="Arial" w:cs="Arial"/>
          <w:sz w:val="20"/>
          <w:szCs w:val="20"/>
          <w:lang w:val="es-BO"/>
        </w:rPr>
      </w:pPr>
    </w:p>
    <w:p w:rsidR="00920E5D" w:rsidRDefault="00920E5D" w:rsidP="003863ED">
      <w:pPr>
        <w:spacing w:after="0" w:line="240" w:lineRule="auto"/>
        <w:jc w:val="both"/>
        <w:rPr>
          <w:rFonts w:ascii="Times New Roman" w:hAnsi="Times New Roman" w:cs="Times New Roman"/>
          <w:sz w:val="24"/>
          <w:szCs w:val="24"/>
          <w:lang w:val="es-BO"/>
        </w:rPr>
      </w:pPr>
    </w:p>
    <w:p w:rsidR="00B774E9" w:rsidRPr="006B3E2F" w:rsidRDefault="00B774E9"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En el Cuadro A2.4 se presenta los ingresos de IDH percibidos por las universidades públicas del SUB en el periodo 2013 al 2016.</w:t>
      </w:r>
    </w:p>
    <w:p w:rsidR="00B774E9" w:rsidRPr="006B3E2F" w:rsidRDefault="00B774E9" w:rsidP="003863ED">
      <w:pPr>
        <w:spacing w:after="0" w:line="240" w:lineRule="auto"/>
        <w:jc w:val="both"/>
        <w:rPr>
          <w:rFonts w:ascii="Arial" w:hAnsi="Arial" w:cs="Arial"/>
          <w:sz w:val="24"/>
          <w:szCs w:val="24"/>
          <w:lang w:val="es-BO"/>
        </w:rPr>
      </w:pPr>
    </w:p>
    <w:p w:rsidR="00B774E9" w:rsidRPr="006B3E2F" w:rsidRDefault="00B774E9" w:rsidP="00B774E9">
      <w:pPr>
        <w:spacing w:after="0" w:line="240" w:lineRule="auto"/>
        <w:jc w:val="center"/>
        <w:rPr>
          <w:rFonts w:ascii="Arial" w:hAnsi="Arial" w:cs="Arial"/>
          <w:b/>
          <w:sz w:val="24"/>
          <w:szCs w:val="24"/>
          <w:lang w:val="es-BO"/>
        </w:rPr>
      </w:pPr>
      <w:r w:rsidRPr="006B3E2F">
        <w:rPr>
          <w:rFonts w:ascii="Arial" w:hAnsi="Arial" w:cs="Arial"/>
          <w:b/>
          <w:sz w:val="24"/>
          <w:szCs w:val="24"/>
          <w:lang w:val="es-BO"/>
        </w:rPr>
        <w:t>Cuadro A2.4</w:t>
      </w:r>
    </w:p>
    <w:p w:rsidR="00B774E9" w:rsidRPr="006B3E2F" w:rsidRDefault="00B774E9" w:rsidP="00B774E9">
      <w:pPr>
        <w:spacing w:after="0" w:line="240" w:lineRule="auto"/>
        <w:jc w:val="center"/>
        <w:rPr>
          <w:rFonts w:ascii="Arial" w:hAnsi="Arial" w:cs="Arial"/>
          <w:b/>
          <w:sz w:val="24"/>
          <w:szCs w:val="24"/>
          <w:lang w:val="es-BO"/>
        </w:rPr>
      </w:pPr>
      <w:r w:rsidRPr="006B3E2F">
        <w:rPr>
          <w:rFonts w:ascii="Arial" w:hAnsi="Arial" w:cs="Arial"/>
          <w:b/>
          <w:sz w:val="24"/>
          <w:szCs w:val="24"/>
          <w:lang w:val="es-BO"/>
        </w:rPr>
        <w:t>Ingresos Percibidos de IDH por las Universidades Públicas del SUB</w:t>
      </w:r>
    </w:p>
    <w:p w:rsidR="00B774E9" w:rsidRPr="006B3E2F" w:rsidRDefault="00B774E9" w:rsidP="00B774E9">
      <w:pPr>
        <w:spacing w:after="0" w:line="240" w:lineRule="auto"/>
        <w:jc w:val="center"/>
        <w:rPr>
          <w:rFonts w:ascii="Arial" w:hAnsi="Arial" w:cs="Arial"/>
          <w:b/>
          <w:sz w:val="24"/>
          <w:szCs w:val="24"/>
          <w:lang w:val="es-BO"/>
        </w:rPr>
      </w:pPr>
      <w:r w:rsidRPr="006B3E2F">
        <w:rPr>
          <w:rFonts w:ascii="Arial" w:hAnsi="Arial" w:cs="Arial"/>
          <w:b/>
          <w:sz w:val="24"/>
          <w:szCs w:val="24"/>
          <w:lang w:val="es-BO"/>
        </w:rPr>
        <w:t>Periodo: 2013-2016</w:t>
      </w:r>
    </w:p>
    <w:p w:rsidR="00B774E9" w:rsidRPr="006B3E2F" w:rsidRDefault="00B774E9" w:rsidP="00B774E9">
      <w:pPr>
        <w:spacing w:after="0" w:line="240" w:lineRule="auto"/>
        <w:jc w:val="center"/>
        <w:rPr>
          <w:rFonts w:ascii="Arial" w:hAnsi="Arial" w:cs="Arial"/>
          <w:b/>
          <w:sz w:val="24"/>
          <w:szCs w:val="24"/>
          <w:lang w:val="es-BO"/>
        </w:rPr>
      </w:pPr>
      <w:r w:rsidRPr="006B3E2F">
        <w:rPr>
          <w:rFonts w:ascii="Arial" w:hAnsi="Arial" w:cs="Arial"/>
          <w:b/>
          <w:sz w:val="24"/>
          <w:szCs w:val="24"/>
          <w:lang w:val="es-BO"/>
        </w:rPr>
        <w:lastRenderedPageBreak/>
        <w:t>(En Bs.)</w:t>
      </w:r>
    </w:p>
    <w:tbl>
      <w:tblPr>
        <w:tblW w:w="9209" w:type="dxa"/>
        <w:tblLook w:val="04A0" w:firstRow="1" w:lastRow="0" w:firstColumn="1" w:lastColumn="0" w:noHBand="0" w:noVBand="1"/>
      </w:tblPr>
      <w:tblGrid>
        <w:gridCol w:w="1628"/>
        <w:gridCol w:w="1911"/>
        <w:gridCol w:w="1843"/>
        <w:gridCol w:w="1843"/>
        <w:gridCol w:w="1984"/>
      </w:tblGrid>
      <w:tr w:rsidR="00B774E9" w:rsidRPr="00B774E9" w:rsidTr="00B774E9">
        <w:trPr>
          <w:trHeight w:val="300"/>
        </w:trPr>
        <w:tc>
          <w:tcPr>
            <w:tcW w:w="1628"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B774E9" w:rsidRPr="00B774E9" w:rsidRDefault="00B774E9" w:rsidP="00B774E9">
            <w:pPr>
              <w:spacing w:after="0" w:line="240" w:lineRule="auto"/>
              <w:jc w:val="center"/>
              <w:rPr>
                <w:rFonts w:ascii="Times New Roman" w:eastAsia="Times New Roman" w:hAnsi="Times New Roman" w:cs="Times New Roman"/>
                <w:b/>
                <w:bCs/>
                <w:color w:val="000000"/>
                <w:sz w:val="20"/>
                <w:szCs w:val="20"/>
              </w:rPr>
            </w:pPr>
            <w:r w:rsidRPr="00B774E9">
              <w:rPr>
                <w:rFonts w:ascii="Times New Roman" w:eastAsia="Times New Roman" w:hAnsi="Times New Roman" w:cs="Times New Roman"/>
                <w:b/>
                <w:bCs/>
                <w:color w:val="000000"/>
                <w:sz w:val="20"/>
                <w:szCs w:val="20"/>
              </w:rPr>
              <w:t>UNIVERSIDAD</w:t>
            </w:r>
          </w:p>
        </w:tc>
        <w:tc>
          <w:tcPr>
            <w:tcW w:w="1911" w:type="dxa"/>
            <w:tcBorders>
              <w:top w:val="single" w:sz="4" w:space="0" w:color="auto"/>
              <w:left w:val="nil"/>
              <w:bottom w:val="single" w:sz="4" w:space="0" w:color="auto"/>
              <w:right w:val="single" w:sz="4" w:space="0" w:color="auto"/>
            </w:tcBorders>
            <w:shd w:val="clear" w:color="000000" w:fill="E7E6E6"/>
            <w:noWrap/>
            <w:vAlign w:val="bottom"/>
            <w:hideMark/>
          </w:tcPr>
          <w:p w:rsidR="00B774E9" w:rsidRPr="00B774E9" w:rsidRDefault="00B774E9" w:rsidP="00B774E9">
            <w:pPr>
              <w:spacing w:after="0" w:line="240" w:lineRule="auto"/>
              <w:jc w:val="center"/>
              <w:rPr>
                <w:rFonts w:ascii="Times New Roman" w:eastAsia="Times New Roman" w:hAnsi="Times New Roman" w:cs="Times New Roman"/>
                <w:b/>
                <w:bCs/>
                <w:color w:val="000000"/>
                <w:sz w:val="20"/>
                <w:szCs w:val="20"/>
              </w:rPr>
            </w:pPr>
            <w:r w:rsidRPr="00B774E9">
              <w:rPr>
                <w:rFonts w:ascii="Times New Roman" w:eastAsia="Times New Roman" w:hAnsi="Times New Roman" w:cs="Times New Roman"/>
                <w:b/>
                <w:bCs/>
                <w:color w:val="000000"/>
                <w:sz w:val="20"/>
                <w:szCs w:val="20"/>
              </w:rPr>
              <w:t>2013</w:t>
            </w:r>
          </w:p>
        </w:tc>
        <w:tc>
          <w:tcPr>
            <w:tcW w:w="1843" w:type="dxa"/>
            <w:tcBorders>
              <w:top w:val="single" w:sz="4" w:space="0" w:color="auto"/>
              <w:left w:val="nil"/>
              <w:bottom w:val="single" w:sz="4" w:space="0" w:color="auto"/>
              <w:right w:val="single" w:sz="4" w:space="0" w:color="auto"/>
            </w:tcBorders>
            <w:shd w:val="clear" w:color="000000" w:fill="E7E6E6"/>
            <w:noWrap/>
            <w:vAlign w:val="bottom"/>
            <w:hideMark/>
          </w:tcPr>
          <w:p w:rsidR="00B774E9" w:rsidRPr="00B774E9" w:rsidRDefault="00B774E9" w:rsidP="00B774E9">
            <w:pPr>
              <w:spacing w:after="0" w:line="240" w:lineRule="auto"/>
              <w:jc w:val="center"/>
              <w:rPr>
                <w:rFonts w:ascii="Times New Roman" w:eastAsia="Times New Roman" w:hAnsi="Times New Roman" w:cs="Times New Roman"/>
                <w:b/>
                <w:bCs/>
                <w:color w:val="000000"/>
                <w:sz w:val="20"/>
                <w:szCs w:val="20"/>
              </w:rPr>
            </w:pPr>
            <w:r w:rsidRPr="00B774E9">
              <w:rPr>
                <w:rFonts w:ascii="Times New Roman" w:eastAsia="Times New Roman" w:hAnsi="Times New Roman" w:cs="Times New Roman"/>
                <w:b/>
                <w:bCs/>
                <w:color w:val="000000"/>
                <w:sz w:val="20"/>
                <w:szCs w:val="20"/>
              </w:rPr>
              <w:t>2014</w:t>
            </w:r>
          </w:p>
        </w:tc>
        <w:tc>
          <w:tcPr>
            <w:tcW w:w="1843" w:type="dxa"/>
            <w:tcBorders>
              <w:top w:val="single" w:sz="4" w:space="0" w:color="auto"/>
              <w:left w:val="nil"/>
              <w:bottom w:val="single" w:sz="4" w:space="0" w:color="auto"/>
              <w:right w:val="single" w:sz="4" w:space="0" w:color="auto"/>
            </w:tcBorders>
            <w:shd w:val="clear" w:color="000000" w:fill="E7E6E6"/>
            <w:noWrap/>
            <w:vAlign w:val="bottom"/>
            <w:hideMark/>
          </w:tcPr>
          <w:p w:rsidR="00B774E9" w:rsidRPr="00B774E9" w:rsidRDefault="00B774E9" w:rsidP="00B774E9">
            <w:pPr>
              <w:spacing w:after="0" w:line="240" w:lineRule="auto"/>
              <w:jc w:val="center"/>
              <w:rPr>
                <w:rFonts w:ascii="Times New Roman" w:eastAsia="Times New Roman" w:hAnsi="Times New Roman" w:cs="Times New Roman"/>
                <w:b/>
                <w:bCs/>
                <w:color w:val="000000"/>
                <w:sz w:val="20"/>
                <w:szCs w:val="20"/>
              </w:rPr>
            </w:pPr>
            <w:r w:rsidRPr="00B774E9">
              <w:rPr>
                <w:rFonts w:ascii="Times New Roman" w:eastAsia="Times New Roman" w:hAnsi="Times New Roman" w:cs="Times New Roman"/>
                <w:b/>
                <w:bCs/>
                <w:color w:val="000000"/>
                <w:sz w:val="20"/>
                <w:szCs w:val="20"/>
              </w:rPr>
              <w:t>2015</w:t>
            </w:r>
          </w:p>
        </w:tc>
        <w:tc>
          <w:tcPr>
            <w:tcW w:w="1984" w:type="dxa"/>
            <w:tcBorders>
              <w:top w:val="single" w:sz="4" w:space="0" w:color="auto"/>
              <w:left w:val="nil"/>
              <w:bottom w:val="single" w:sz="4" w:space="0" w:color="auto"/>
              <w:right w:val="single" w:sz="4" w:space="0" w:color="auto"/>
            </w:tcBorders>
            <w:shd w:val="clear" w:color="000000" w:fill="E7E6E6"/>
            <w:noWrap/>
            <w:vAlign w:val="bottom"/>
            <w:hideMark/>
          </w:tcPr>
          <w:p w:rsidR="00B774E9" w:rsidRPr="00B774E9" w:rsidRDefault="00B774E9" w:rsidP="00B774E9">
            <w:pPr>
              <w:spacing w:after="0" w:line="240" w:lineRule="auto"/>
              <w:jc w:val="center"/>
              <w:rPr>
                <w:rFonts w:ascii="Times New Roman" w:eastAsia="Times New Roman" w:hAnsi="Times New Roman" w:cs="Times New Roman"/>
                <w:b/>
                <w:bCs/>
                <w:color w:val="000000"/>
                <w:sz w:val="20"/>
                <w:szCs w:val="20"/>
              </w:rPr>
            </w:pPr>
            <w:r w:rsidRPr="00B774E9">
              <w:rPr>
                <w:rFonts w:ascii="Times New Roman" w:eastAsia="Times New Roman" w:hAnsi="Times New Roman" w:cs="Times New Roman"/>
                <w:b/>
                <w:bCs/>
                <w:color w:val="000000"/>
                <w:sz w:val="20"/>
                <w:szCs w:val="20"/>
              </w:rPr>
              <w:t>2016**</w:t>
            </w:r>
          </w:p>
        </w:tc>
      </w:tr>
      <w:tr w:rsidR="00B774E9" w:rsidRPr="00B774E9" w:rsidTr="00B774E9">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U.M.S.F.X.</w:t>
            </w:r>
          </w:p>
        </w:tc>
        <w:tc>
          <w:tcPr>
            <w:tcW w:w="1911"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83.569.987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83.887.212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69.773.385 </w:t>
            </w:r>
          </w:p>
        </w:tc>
        <w:tc>
          <w:tcPr>
            <w:tcW w:w="1984"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34.989.387 </w:t>
            </w:r>
          </w:p>
        </w:tc>
      </w:tr>
      <w:tr w:rsidR="00B774E9" w:rsidRPr="00B774E9" w:rsidTr="00B774E9">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U.M.S.A.</w:t>
            </w:r>
          </w:p>
        </w:tc>
        <w:tc>
          <w:tcPr>
            <w:tcW w:w="1911"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131.985.705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132.486.712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110.196.133 </w:t>
            </w:r>
          </w:p>
        </w:tc>
        <w:tc>
          <w:tcPr>
            <w:tcW w:w="1984"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55.260.257 </w:t>
            </w:r>
          </w:p>
        </w:tc>
      </w:tr>
      <w:tr w:rsidR="00B774E9" w:rsidRPr="00B774E9" w:rsidTr="00B774E9">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U.M.S.S.</w:t>
            </w:r>
          </w:p>
        </w:tc>
        <w:tc>
          <w:tcPr>
            <w:tcW w:w="1911"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136.106.599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136.623.249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113.636.707 </w:t>
            </w:r>
          </w:p>
        </w:tc>
        <w:tc>
          <w:tcPr>
            <w:tcW w:w="1984"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56.985.608 </w:t>
            </w:r>
          </w:p>
        </w:tc>
      </w:tr>
      <w:tr w:rsidR="00B774E9" w:rsidRPr="00B774E9" w:rsidTr="00B774E9">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U.A.G.R.M.</w:t>
            </w:r>
          </w:p>
        </w:tc>
        <w:tc>
          <w:tcPr>
            <w:tcW w:w="1911"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189.942.598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190.663.606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158.584.900 </w:t>
            </w:r>
          </w:p>
        </w:tc>
        <w:tc>
          <w:tcPr>
            <w:tcW w:w="1984"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79.525.861 </w:t>
            </w:r>
          </w:p>
        </w:tc>
      </w:tr>
      <w:tr w:rsidR="00B774E9" w:rsidRPr="00B774E9" w:rsidTr="00B774E9">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U.A.T.F.</w:t>
            </w:r>
          </w:p>
        </w:tc>
        <w:tc>
          <w:tcPr>
            <w:tcW w:w="1911"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52.649.091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52.848.943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43.957.232 </w:t>
            </w:r>
          </w:p>
        </w:tc>
        <w:tc>
          <w:tcPr>
            <w:tcW w:w="1984"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22.043.314 </w:t>
            </w:r>
          </w:p>
        </w:tc>
      </w:tr>
      <w:tr w:rsidR="00B774E9" w:rsidRPr="00B774E9" w:rsidTr="00B774E9">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U.T.O.</w:t>
            </w:r>
          </w:p>
        </w:tc>
        <w:tc>
          <w:tcPr>
            <w:tcW w:w="1911"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83.569.987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83.887.212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69.773.385 </w:t>
            </w:r>
          </w:p>
        </w:tc>
        <w:tc>
          <w:tcPr>
            <w:tcW w:w="1984"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34.989.387 </w:t>
            </w:r>
          </w:p>
        </w:tc>
      </w:tr>
      <w:tr w:rsidR="00B774E9" w:rsidRPr="00B774E9" w:rsidTr="00B774E9">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U.A.J.M.S.</w:t>
            </w:r>
          </w:p>
        </w:tc>
        <w:tc>
          <w:tcPr>
            <w:tcW w:w="1911"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111.879.864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112.304.551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93.409.573 </w:t>
            </w:r>
          </w:p>
        </w:tc>
        <w:tc>
          <w:tcPr>
            <w:tcW w:w="1984"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46.842.270 </w:t>
            </w:r>
          </w:p>
        </w:tc>
      </w:tr>
      <w:tr w:rsidR="00B774E9" w:rsidRPr="00B774E9" w:rsidTr="00B774E9">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U.A.B.J.B.</w:t>
            </w:r>
          </w:p>
        </w:tc>
        <w:tc>
          <w:tcPr>
            <w:tcW w:w="1911"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83.569.987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83.887.212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69.773.385 </w:t>
            </w:r>
          </w:p>
        </w:tc>
        <w:tc>
          <w:tcPr>
            <w:tcW w:w="1984"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34.989.387 </w:t>
            </w:r>
          </w:p>
        </w:tc>
      </w:tr>
      <w:tr w:rsidR="00B774E9" w:rsidRPr="00B774E9" w:rsidTr="00B774E9">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U.N.S.XX.</w:t>
            </w:r>
          </w:p>
        </w:tc>
        <w:tc>
          <w:tcPr>
            <w:tcW w:w="1911"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30.920.896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31.038.269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25.816.153 </w:t>
            </w:r>
          </w:p>
        </w:tc>
        <w:tc>
          <w:tcPr>
            <w:tcW w:w="1984"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12.946.074 </w:t>
            </w:r>
          </w:p>
        </w:tc>
      </w:tr>
      <w:tr w:rsidR="00B774E9" w:rsidRPr="00B774E9" w:rsidTr="00B774E9">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U.A.P.</w:t>
            </w:r>
          </w:p>
        </w:tc>
        <w:tc>
          <w:tcPr>
            <w:tcW w:w="1911"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83.569.987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83.887.212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69.773.385 </w:t>
            </w:r>
          </w:p>
        </w:tc>
        <w:tc>
          <w:tcPr>
            <w:tcW w:w="1984"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34.989.387 </w:t>
            </w:r>
          </w:p>
        </w:tc>
      </w:tr>
      <w:tr w:rsidR="00B774E9" w:rsidRPr="00B774E9" w:rsidTr="00B774E9">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U.P.E.A.</w:t>
            </w:r>
          </w:p>
        </w:tc>
        <w:tc>
          <w:tcPr>
            <w:tcW w:w="1911"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54.994.042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55.202.795 </w:t>
            </w:r>
          </w:p>
        </w:tc>
        <w:tc>
          <w:tcPr>
            <w:tcW w:w="1843"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45.915.054 </w:t>
            </w:r>
          </w:p>
        </w:tc>
        <w:tc>
          <w:tcPr>
            <w:tcW w:w="1984" w:type="dxa"/>
            <w:tcBorders>
              <w:top w:val="nil"/>
              <w:left w:val="nil"/>
              <w:bottom w:val="single" w:sz="4" w:space="0" w:color="auto"/>
              <w:right w:val="single" w:sz="4" w:space="0" w:color="auto"/>
            </w:tcBorders>
            <w:shd w:val="clear" w:color="auto" w:fill="auto"/>
            <w:noWrap/>
            <w:vAlign w:val="bottom"/>
            <w:hideMark/>
          </w:tcPr>
          <w:p w:rsidR="00B774E9" w:rsidRPr="00B774E9" w:rsidRDefault="00B774E9" w:rsidP="00B774E9">
            <w:pPr>
              <w:spacing w:after="0" w:line="240" w:lineRule="auto"/>
              <w:rPr>
                <w:rFonts w:ascii="Times New Roman" w:eastAsia="Times New Roman" w:hAnsi="Times New Roman" w:cs="Times New Roman"/>
                <w:color w:val="000000"/>
                <w:sz w:val="20"/>
                <w:szCs w:val="20"/>
              </w:rPr>
            </w:pPr>
            <w:r w:rsidRPr="00B774E9">
              <w:rPr>
                <w:rFonts w:ascii="Times New Roman" w:eastAsia="Times New Roman" w:hAnsi="Times New Roman" w:cs="Times New Roman"/>
                <w:color w:val="000000"/>
                <w:sz w:val="20"/>
                <w:szCs w:val="20"/>
              </w:rPr>
              <w:t xml:space="preserve">                 23.025.106 </w:t>
            </w:r>
          </w:p>
        </w:tc>
      </w:tr>
      <w:tr w:rsidR="00B774E9" w:rsidRPr="00B774E9" w:rsidTr="00B774E9">
        <w:trPr>
          <w:trHeight w:val="300"/>
        </w:trPr>
        <w:tc>
          <w:tcPr>
            <w:tcW w:w="1628" w:type="dxa"/>
            <w:tcBorders>
              <w:top w:val="nil"/>
              <w:left w:val="single" w:sz="4" w:space="0" w:color="auto"/>
              <w:bottom w:val="single" w:sz="4" w:space="0" w:color="auto"/>
              <w:right w:val="single" w:sz="4" w:space="0" w:color="auto"/>
            </w:tcBorders>
            <w:shd w:val="clear" w:color="000000" w:fill="E7E6E6"/>
            <w:noWrap/>
            <w:vAlign w:val="bottom"/>
            <w:hideMark/>
          </w:tcPr>
          <w:p w:rsidR="00B774E9" w:rsidRPr="00B774E9" w:rsidRDefault="00B774E9" w:rsidP="00B774E9">
            <w:pPr>
              <w:spacing w:after="0" w:line="240" w:lineRule="auto"/>
              <w:rPr>
                <w:rFonts w:ascii="Times New Roman" w:eastAsia="Times New Roman" w:hAnsi="Times New Roman" w:cs="Times New Roman"/>
                <w:b/>
                <w:bCs/>
                <w:color w:val="000000"/>
                <w:sz w:val="20"/>
                <w:szCs w:val="20"/>
              </w:rPr>
            </w:pPr>
            <w:r w:rsidRPr="00B774E9">
              <w:rPr>
                <w:rFonts w:ascii="Times New Roman" w:eastAsia="Times New Roman" w:hAnsi="Times New Roman" w:cs="Times New Roman"/>
                <w:b/>
                <w:bCs/>
                <w:color w:val="000000"/>
                <w:sz w:val="20"/>
                <w:szCs w:val="20"/>
              </w:rPr>
              <w:t>TOTAL</w:t>
            </w:r>
          </w:p>
        </w:tc>
        <w:tc>
          <w:tcPr>
            <w:tcW w:w="1911" w:type="dxa"/>
            <w:tcBorders>
              <w:top w:val="nil"/>
              <w:left w:val="nil"/>
              <w:bottom w:val="single" w:sz="4" w:space="0" w:color="auto"/>
              <w:right w:val="single" w:sz="4" w:space="0" w:color="auto"/>
            </w:tcBorders>
            <w:shd w:val="clear" w:color="000000" w:fill="E7E6E6"/>
            <w:noWrap/>
            <w:vAlign w:val="bottom"/>
            <w:hideMark/>
          </w:tcPr>
          <w:p w:rsidR="00B774E9" w:rsidRPr="00B774E9" w:rsidRDefault="00B774E9" w:rsidP="00B774E9">
            <w:pPr>
              <w:spacing w:after="0" w:line="240" w:lineRule="auto"/>
              <w:rPr>
                <w:rFonts w:ascii="Times New Roman" w:eastAsia="Times New Roman" w:hAnsi="Times New Roman" w:cs="Times New Roman"/>
                <w:b/>
                <w:bCs/>
                <w:color w:val="000000"/>
                <w:sz w:val="20"/>
                <w:szCs w:val="20"/>
              </w:rPr>
            </w:pPr>
            <w:r w:rsidRPr="00B774E9">
              <w:rPr>
                <w:rFonts w:ascii="Times New Roman" w:eastAsia="Times New Roman" w:hAnsi="Times New Roman" w:cs="Times New Roman"/>
                <w:b/>
                <w:bCs/>
                <w:color w:val="000000"/>
                <w:sz w:val="20"/>
                <w:szCs w:val="20"/>
              </w:rPr>
              <w:t xml:space="preserve">      1.042.758.744 </w:t>
            </w:r>
          </w:p>
        </w:tc>
        <w:tc>
          <w:tcPr>
            <w:tcW w:w="1843" w:type="dxa"/>
            <w:tcBorders>
              <w:top w:val="nil"/>
              <w:left w:val="nil"/>
              <w:bottom w:val="single" w:sz="4" w:space="0" w:color="auto"/>
              <w:right w:val="single" w:sz="4" w:space="0" w:color="auto"/>
            </w:tcBorders>
            <w:shd w:val="clear" w:color="000000" w:fill="E7E6E6"/>
            <w:noWrap/>
            <w:vAlign w:val="bottom"/>
            <w:hideMark/>
          </w:tcPr>
          <w:p w:rsidR="00B774E9" w:rsidRPr="00B774E9" w:rsidRDefault="00B774E9" w:rsidP="00B774E9">
            <w:pPr>
              <w:spacing w:after="0" w:line="240" w:lineRule="auto"/>
              <w:rPr>
                <w:rFonts w:ascii="Times New Roman" w:eastAsia="Times New Roman" w:hAnsi="Times New Roman" w:cs="Times New Roman"/>
                <w:b/>
                <w:bCs/>
                <w:color w:val="000000"/>
                <w:sz w:val="20"/>
                <w:szCs w:val="20"/>
              </w:rPr>
            </w:pPr>
            <w:r w:rsidRPr="00B774E9">
              <w:rPr>
                <w:rFonts w:ascii="Times New Roman" w:eastAsia="Times New Roman" w:hAnsi="Times New Roman" w:cs="Times New Roman"/>
                <w:b/>
                <w:bCs/>
                <w:color w:val="000000"/>
                <w:sz w:val="20"/>
                <w:szCs w:val="20"/>
              </w:rPr>
              <w:t xml:space="preserve">      1.046.716.974 </w:t>
            </w:r>
          </w:p>
        </w:tc>
        <w:tc>
          <w:tcPr>
            <w:tcW w:w="1843" w:type="dxa"/>
            <w:tcBorders>
              <w:top w:val="nil"/>
              <w:left w:val="nil"/>
              <w:bottom w:val="single" w:sz="4" w:space="0" w:color="auto"/>
              <w:right w:val="single" w:sz="4" w:space="0" w:color="auto"/>
            </w:tcBorders>
            <w:shd w:val="clear" w:color="000000" w:fill="E7E6E6"/>
            <w:noWrap/>
            <w:vAlign w:val="bottom"/>
            <w:hideMark/>
          </w:tcPr>
          <w:p w:rsidR="00B774E9" w:rsidRPr="00B774E9" w:rsidRDefault="00B774E9" w:rsidP="00B774E9">
            <w:pPr>
              <w:spacing w:after="0" w:line="240" w:lineRule="auto"/>
              <w:rPr>
                <w:rFonts w:ascii="Times New Roman" w:eastAsia="Times New Roman" w:hAnsi="Times New Roman" w:cs="Times New Roman"/>
                <w:b/>
                <w:bCs/>
                <w:color w:val="000000"/>
                <w:sz w:val="20"/>
                <w:szCs w:val="20"/>
              </w:rPr>
            </w:pPr>
            <w:r w:rsidRPr="00B774E9">
              <w:rPr>
                <w:rFonts w:ascii="Times New Roman" w:eastAsia="Times New Roman" w:hAnsi="Times New Roman" w:cs="Times New Roman"/>
                <w:b/>
                <w:bCs/>
                <w:color w:val="000000"/>
                <w:sz w:val="20"/>
                <w:szCs w:val="20"/>
              </w:rPr>
              <w:t xml:space="preserve">        870.609.292 </w:t>
            </w:r>
          </w:p>
        </w:tc>
        <w:tc>
          <w:tcPr>
            <w:tcW w:w="1984" w:type="dxa"/>
            <w:tcBorders>
              <w:top w:val="nil"/>
              <w:left w:val="nil"/>
              <w:bottom w:val="single" w:sz="4" w:space="0" w:color="auto"/>
              <w:right w:val="single" w:sz="4" w:space="0" w:color="auto"/>
            </w:tcBorders>
            <w:shd w:val="clear" w:color="000000" w:fill="E7E6E6"/>
            <w:noWrap/>
            <w:vAlign w:val="bottom"/>
            <w:hideMark/>
          </w:tcPr>
          <w:p w:rsidR="00B774E9" w:rsidRPr="00B774E9" w:rsidRDefault="00B774E9" w:rsidP="00B774E9">
            <w:pPr>
              <w:spacing w:after="0" w:line="240" w:lineRule="auto"/>
              <w:rPr>
                <w:rFonts w:ascii="Times New Roman" w:eastAsia="Times New Roman" w:hAnsi="Times New Roman" w:cs="Times New Roman"/>
                <w:b/>
                <w:bCs/>
                <w:color w:val="000000"/>
                <w:sz w:val="20"/>
                <w:szCs w:val="20"/>
              </w:rPr>
            </w:pPr>
            <w:r w:rsidRPr="00B774E9">
              <w:rPr>
                <w:rFonts w:ascii="Times New Roman" w:eastAsia="Times New Roman" w:hAnsi="Times New Roman" w:cs="Times New Roman"/>
                <w:b/>
                <w:bCs/>
                <w:color w:val="000000"/>
                <w:sz w:val="20"/>
                <w:szCs w:val="20"/>
              </w:rPr>
              <w:t xml:space="preserve">            436.586.039 </w:t>
            </w:r>
          </w:p>
        </w:tc>
      </w:tr>
    </w:tbl>
    <w:p w:rsidR="00B774E9" w:rsidRPr="00B774E9" w:rsidRDefault="00B774E9" w:rsidP="00B774E9">
      <w:pPr>
        <w:spacing w:after="0" w:line="240" w:lineRule="auto"/>
        <w:jc w:val="both"/>
        <w:rPr>
          <w:rFonts w:ascii="Times New Roman" w:hAnsi="Times New Roman" w:cs="Times New Roman"/>
          <w:sz w:val="20"/>
          <w:szCs w:val="20"/>
          <w:lang w:val="es-BO"/>
        </w:rPr>
      </w:pPr>
      <w:r w:rsidRPr="00B774E9">
        <w:rPr>
          <w:rFonts w:ascii="Times New Roman" w:hAnsi="Times New Roman" w:cs="Times New Roman"/>
          <w:sz w:val="20"/>
          <w:szCs w:val="20"/>
          <w:lang w:val="es-BO"/>
        </w:rPr>
        <w:t>(**) Estimado al 25/12/216 e incluye la reducción del 12% de la Ley N°767</w:t>
      </w:r>
    </w:p>
    <w:p w:rsidR="00920E5D" w:rsidRDefault="00B774E9" w:rsidP="003863ED">
      <w:pPr>
        <w:spacing w:after="0" w:line="240" w:lineRule="auto"/>
        <w:jc w:val="both"/>
        <w:rPr>
          <w:rFonts w:ascii="Times New Roman" w:hAnsi="Times New Roman" w:cs="Times New Roman"/>
          <w:sz w:val="20"/>
          <w:szCs w:val="20"/>
          <w:lang w:val="es-BO"/>
        </w:rPr>
      </w:pPr>
      <w:r w:rsidRPr="00B774E9">
        <w:rPr>
          <w:rFonts w:ascii="Times New Roman" w:hAnsi="Times New Roman" w:cs="Times New Roman"/>
          <w:sz w:val="20"/>
          <w:szCs w:val="20"/>
          <w:lang w:val="es-BO"/>
        </w:rPr>
        <w:t>Fuente: CEUB</w:t>
      </w:r>
    </w:p>
    <w:p w:rsidR="00B774E9" w:rsidRDefault="00B774E9" w:rsidP="003863ED">
      <w:pPr>
        <w:spacing w:after="0" w:line="240" w:lineRule="auto"/>
        <w:jc w:val="both"/>
        <w:rPr>
          <w:rFonts w:ascii="Times New Roman" w:hAnsi="Times New Roman" w:cs="Times New Roman"/>
          <w:sz w:val="20"/>
          <w:szCs w:val="20"/>
          <w:lang w:val="es-BO"/>
        </w:rPr>
      </w:pPr>
    </w:p>
    <w:p w:rsidR="00B774E9" w:rsidRPr="006B3E2F" w:rsidRDefault="00B774E9" w:rsidP="003863ED">
      <w:pPr>
        <w:spacing w:after="0" w:line="240" w:lineRule="auto"/>
        <w:jc w:val="both"/>
        <w:rPr>
          <w:rFonts w:ascii="Arial" w:hAnsi="Arial" w:cs="Arial"/>
          <w:sz w:val="20"/>
          <w:szCs w:val="20"/>
          <w:lang w:val="es-BO"/>
        </w:rPr>
      </w:pPr>
    </w:p>
    <w:p w:rsidR="00B774E9" w:rsidRPr="006B3E2F" w:rsidRDefault="00B774E9" w:rsidP="003863ED">
      <w:pPr>
        <w:spacing w:after="0" w:line="240" w:lineRule="auto"/>
        <w:jc w:val="both"/>
        <w:rPr>
          <w:rFonts w:ascii="Arial" w:hAnsi="Arial" w:cs="Arial"/>
          <w:sz w:val="20"/>
          <w:szCs w:val="20"/>
          <w:lang w:val="es-BO"/>
        </w:rPr>
      </w:pPr>
    </w:p>
    <w:p w:rsidR="00B774E9" w:rsidRPr="006B3E2F" w:rsidRDefault="00B774E9" w:rsidP="003863ED">
      <w:pPr>
        <w:spacing w:after="0" w:line="240" w:lineRule="auto"/>
        <w:jc w:val="both"/>
        <w:rPr>
          <w:rFonts w:ascii="Arial" w:hAnsi="Arial" w:cs="Arial"/>
          <w:b/>
          <w:sz w:val="24"/>
          <w:szCs w:val="24"/>
          <w:lang w:val="es-BO"/>
        </w:rPr>
      </w:pPr>
      <w:r w:rsidRPr="006B3E2F">
        <w:rPr>
          <w:rFonts w:ascii="Arial" w:hAnsi="Arial" w:cs="Arial"/>
          <w:b/>
          <w:sz w:val="24"/>
          <w:szCs w:val="24"/>
          <w:lang w:val="es-BO"/>
        </w:rPr>
        <w:t>Proyección de los ingresos del IDH para el periodo 2017-2021</w:t>
      </w:r>
    </w:p>
    <w:p w:rsidR="00B774E9" w:rsidRPr="006B3E2F" w:rsidRDefault="00B774E9" w:rsidP="003863ED">
      <w:pPr>
        <w:spacing w:after="0" w:line="240" w:lineRule="auto"/>
        <w:jc w:val="both"/>
        <w:rPr>
          <w:rFonts w:ascii="Arial" w:hAnsi="Arial" w:cs="Arial"/>
          <w:sz w:val="24"/>
          <w:szCs w:val="24"/>
          <w:lang w:val="es-BO"/>
        </w:rPr>
      </w:pPr>
    </w:p>
    <w:p w:rsidR="0054735A" w:rsidRPr="006B3E2F" w:rsidRDefault="00B774E9"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Con un criterio conservador</w:t>
      </w:r>
      <w:r w:rsidR="0054735A" w:rsidRPr="006B3E2F">
        <w:rPr>
          <w:rFonts w:ascii="Arial" w:hAnsi="Arial" w:cs="Arial"/>
          <w:sz w:val="24"/>
          <w:szCs w:val="24"/>
          <w:lang w:val="es-BO"/>
        </w:rPr>
        <w:t xml:space="preserve"> y para fines de establecer el presupuesto del presente estudio, se considerará que los ingresos futuros del IDH se mantendrán iguales a los de la gestión 2016, esto si consideramos el Presupuesto General del Estado (PGE) para el 2017 fue elaborado con un precio internacional el petróleo WTI a 45,24 $us/Barril y el Plan de Desarrollo Económico y Social (PDES) 2016-2020 fue elaborado sobre la base de 55 $us/Barril de petróleo WTI.</w:t>
      </w:r>
    </w:p>
    <w:p w:rsidR="0054735A" w:rsidRPr="006B3E2F" w:rsidRDefault="0054735A" w:rsidP="003863ED">
      <w:pPr>
        <w:spacing w:after="0" w:line="240" w:lineRule="auto"/>
        <w:jc w:val="both"/>
        <w:rPr>
          <w:rFonts w:ascii="Arial" w:hAnsi="Arial" w:cs="Arial"/>
          <w:sz w:val="24"/>
          <w:szCs w:val="24"/>
          <w:lang w:val="es-BO"/>
        </w:rPr>
      </w:pPr>
    </w:p>
    <w:p w:rsidR="00B774E9" w:rsidRPr="006B3E2F" w:rsidRDefault="0054735A"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Actualmente, el precio internacional del petróleo WTI es de 54,06 $us/Barril y se espera precios mayores a 60 $us/Barril, según expertos, para los próximos años.</w:t>
      </w:r>
    </w:p>
    <w:p w:rsidR="0054735A" w:rsidRPr="006B3E2F" w:rsidRDefault="0054735A" w:rsidP="003863ED">
      <w:pPr>
        <w:spacing w:after="0" w:line="240" w:lineRule="auto"/>
        <w:jc w:val="both"/>
        <w:rPr>
          <w:rFonts w:ascii="Arial" w:hAnsi="Arial" w:cs="Arial"/>
          <w:sz w:val="24"/>
          <w:szCs w:val="24"/>
          <w:lang w:val="es-BO"/>
        </w:rPr>
      </w:pPr>
    </w:p>
    <w:p w:rsidR="0054735A" w:rsidRPr="006B3E2F" w:rsidRDefault="0054735A" w:rsidP="003863ED">
      <w:pPr>
        <w:spacing w:after="0" w:line="240" w:lineRule="auto"/>
        <w:jc w:val="both"/>
        <w:rPr>
          <w:rFonts w:ascii="Arial" w:hAnsi="Arial" w:cs="Arial"/>
          <w:sz w:val="24"/>
          <w:szCs w:val="24"/>
          <w:lang w:val="es-BO"/>
        </w:rPr>
      </w:pPr>
      <w:r w:rsidRPr="006B3E2F">
        <w:rPr>
          <w:rFonts w:ascii="Arial" w:hAnsi="Arial" w:cs="Arial"/>
          <w:sz w:val="24"/>
          <w:szCs w:val="24"/>
          <w:lang w:val="es-BO"/>
        </w:rPr>
        <w:t xml:space="preserve">Basado en estas consideraciones, se estiman para los próximos años ingresos similares de IDH para las Universidades Públicas del SUB, estos ingresos son los considerados para estimar los ingresos de la Agencia del FONCyT.  </w:t>
      </w:r>
    </w:p>
    <w:p w:rsidR="004F361F" w:rsidRDefault="004F361F">
      <w:pPr>
        <w:rPr>
          <w:b/>
          <w:lang w:val="es-BO"/>
        </w:rPr>
      </w:pPr>
      <w:r>
        <w:rPr>
          <w:b/>
          <w:lang w:val="es-BO"/>
        </w:rPr>
        <w:br w:type="page"/>
      </w:r>
    </w:p>
    <w:p w:rsidR="00097FF0" w:rsidRDefault="00097FF0">
      <w:pPr>
        <w:rPr>
          <w:b/>
          <w:lang w:val="es-BO"/>
        </w:rPr>
      </w:pPr>
    </w:p>
    <w:p w:rsidR="0000051E" w:rsidRDefault="00FD7D0C" w:rsidP="00FD7D0C">
      <w:pPr>
        <w:jc w:val="center"/>
        <w:rPr>
          <w:b/>
          <w:lang w:val="es-BO"/>
        </w:rPr>
      </w:pPr>
      <w:r>
        <w:rPr>
          <w:b/>
          <w:lang w:val="es-BO"/>
        </w:rPr>
        <w:t>MODELO DE CONVOCATORIA PAR PROYECTOS DE INVESTIGACION</w:t>
      </w:r>
    </w:p>
    <w:p w:rsidR="0000051E" w:rsidRDefault="0000051E">
      <w:pPr>
        <w:rPr>
          <w:b/>
          <w:lang w:val="es-BO"/>
        </w:rPr>
      </w:pPr>
      <w:r>
        <w:rPr>
          <w:b/>
          <w:lang w:val="es-BO"/>
        </w:rPr>
        <w:br w:type="page"/>
      </w:r>
    </w:p>
    <w:p w:rsidR="00BE620D" w:rsidRDefault="00BE620D" w:rsidP="00FD7D0C">
      <w:pPr>
        <w:jc w:val="center"/>
        <w:rPr>
          <w:b/>
          <w:lang w:val="es-BO"/>
        </w:rPr>
      </w:pPr>
    </w:p>
    <w:p w:rsidR="00BE620D" w:rsidRDefault="00BE620D" w:rsidP="00FD7D0C">
      <w:pPr>
        <w:jc w:val="center"/>
        <w:rPr>
          <w:b/>
          <w:lang w:val="es-BO"/>
        </w:rPr>
      </w:pPr>
    </w:p>
    <w:p w:rsidR="0000051E" w:rsidRDefault="0000051E" w:rsidP="00FD7D0C">
      <w:pPr>
        <w:jc w:val="center"/>
        <w:rPr>
          <w:b/>
          <w:lang w:val="es-BO"/>
        </w:rPr>
      </w:pPr>
    </w:p>
    <w:sectPr w:rsidR="0000051E" w:rsidSect="00B80977">
      <w:pgSz w:w="12240" w:h="15840" w:code="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93A" w:rsidRDefault="0030193A" w:rsidP="003A2620">
      <w:pPr>
        <w:spacing w:after="0" w:line="240" w:lineRule="auto"/>
      </w:pPr>
      <w:r>
        <w:separator/>
      </w:r>
    </w:p>
  </w:endnote>
  <w:endnote w:type="continuationSeparator" w:id="0">
    <w:p w:rsidR="0030193A" w:rsidRDefault="0030193A" w:rsidP="003A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20B0604020202020204"/>
    <w:charset w:val="00"/>
    <w:family w:val="roman"/>
    <w:notTrueType/>
    <w:pitch w:val="default"/>
  </w:font>
  <w:font w:name="+mn-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423896"/>
      <w:docPartObj>
        <w:docPartGallery w:val="Page Numbers (Bottom of Page)"/>
        <w:docPartUnique/>
      </w:docPartObj>
    </w:sdtPr>
    <w:sdtEndPr/>
    <w:sdtContent>
      <w:p w:rsidR="003D1F64" w:rsidRDefault="003D1F64">
        <w:pPr>
          <w:pStyle w:val="Piedepgina"/>
          <w:jc w:val="center"/>
        </w:pPr>
        <w:r>
          <w:fldChar w:fldCharType="begin"/>
        </w:r>
        <w:r>
          <w:instrText>PAGE   \* MERGEFORMAT</w:instrText>
        </w:r>
        <w:r>
          <w:fldChar w:fldCharType="separate"/>
        </w:r>
        <w:r w:rsidR="00B80977" w:rsidRPr="00B80977">
          <w:rPr>
            <w:noProof/>
            <w:lang w:val="es-ES"/>
          </w:rPr>
          <w:t>17</w:t>
        </w:r>
        <w:r>
          <w:fldChar w:fldCharType="end"/>
        </w:r>
      </w:p>
    </w:sdtContent>
  </w:sdt>
  <w:p w:rsidR="003D1F64" w:rsidRDefault="003D1F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93A" w:rsidRDefault="0030193A" w:rsidP="003A2620">
      <w:pPr>
        <w:spacing w:after="0" w:line="240" w:lineRule="auto"/>
      </w:pPr>
      <w:r>
        <w:separator/>
      </w:r>
    </w:p>
  </w:footnote>
  <w:footnote w:type="continuationSeparator" w:id="0">
    <w:p w:rsidR="0030193A" w:rsidRDefault="0030193A" w:rsidP="003A2620">
      <w:pPr>
        <w:spacing w:after="0" w:line="240" w:lineRule="auto"/>
      </w:pPr>
      <w:r>
        <w:continuationSeparator/>
      </w:r>
    </w:p>
  </w:footnote>
  <w:footnote w:id="1">
    <w:p w:rsidR="003D1F64" w:rsidRPr="00CE4FBE" w:rsidRDefault="003D1F64">
      <w:pPr>
        <w:pStyle w:val="Textonotapie"/>
        <w:rPr>
          <w:lang w:val="es-BO"/>
        </w:rPr>
      </w:pPr>
      <w:r>
        <w:rPr>
          <w:rStyle w:val="Refdenotaalpie"/>
        </w:rPr>
        <w:footnoteRef/>
      </w:r>
      <w:r w:rsidRPr="00CE4FBE">
        <w:rPr>
          <w:lang w:val="es-BO"/>
        </w:rPr>
        <w:t xml:space="preserve">  Tendrá que ser modificado al Censo Nacional de </w:t>
      </w:r>
      <w:r>
        <w:rPr>
          <w:lang w:val="es-BO"/>
        </w:rPr>
        <w:t>Población y Vivienda de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275"/>
    <w:multiLevelType w:val="hybridMultilevel"/>
    <w:tmpl w:val="3228738C"/>
    <w:lvl w:ilvl="0" w:tplc="0409000F">
      <w:start w:val="1"/>
      <w:numFmt w:val="decimal"/>
      <w:lvlText w:val="%1."/>
      <w:lvlJc w:val="left"/>
      <w:pPr>
        <w:ind w:left="1080" w:hanging="360"/>
      </w:pPr>
    </w:lvl>
    <w:lvl w:ilvl="1" w:tplc="257C907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111C2"/>
    <w:multiLevelType w:val="hybridMultilevel"/>
    <w:tmpl w:val="DCF8A27A"/>
    <w:lvl w:ilvl="0" w:tplc="0409000F">
      <w:start w:val="1"/>
      <w:numFmt w:val="decimal"/>
      <w:lvlText w:val="%1."/>
      <w:lvlJc w:val="left"/>
      <w:pPr>
        <w:ind w:left="1080" w:hanging="360"/>
      </w:pPr>
      <w:rPr>
        <w:rFonts w:hint="default"/>
      </w:rPr>
    </w:lvl>
    <w:lvl w:ilvl="1" w:tplc="71F8A50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F755E"/>
    <w:multiLevelType w:val="hybridMultilevel"/>
    <w:tmpl w:val="B248FD38"/>
    <w:lvl w:ilvl="0" w:tplc="83CEEA64">
      <w:numFmt w:val="bullet"/>
      <w:lvlText w:val="-"/>
      <w:lvlJc w:val="left"/>
      <w:pPr>
        <w:ind w:left="1788" w:hanging="360"/>
      </w:pPr>
      <w:rPr>
        <w:rFonts w:ascii="Times New Roman" w:eastAsiaTheme="minorHAnsi" w:hAnsi="Times New Roman" w:cs="Times New Roman" w:hint="default"/>
      </w:rPr>
    </w:lvl>
    <w:lvl w:ilvl="1" w:tplc="400A0017">
      <w:start w:val="1"/>
      <w:numFmt w:val="lowerLetter"/>
      <w:lvlText w:val="%2)"/>
      <w:lvlJc w:val="left"/>
      <w:pPr>
        <w:ind w:left="1440" w:hanging="360"/>
      </w:pPr>
      <w:rPr>
        <w:rFonts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7740F40"/>
    <w:multiLevelType w:val="hybridMultilevel"/>
    <w:tmpl w:val="67DA95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E16C3"/>
    <w:multiLevelType w:val="hybridMultilevel"/>
    <w:tmpl w:val="EA50A6DE"/>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6316E"/>
    <w:multiLevelType w:val="hybridMultilevel"/>
    <w:tmpl w:val="1D1E7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515B2"/>
    <w:multiLevelType w:val="hybridMultilevel"/>
    <w:tmpl w:val="233054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F1E39"/>
    <w:multiLevelType w:val="hybridMultilevel"/>
    <w:tmpl w:val="33D0FA1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57349"/>
    <w:multiLevelType w:val="hybridMultilevel"/>
    <w:tmpl w:val="88A82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CE1C21"/>
    <w:multiLevelType w:val="multilevel"/>
    <w:tmpl w:val="CA1AC02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F31CA7"/>
    <w:multiLevelType w:val="hybridMultilevel"/>
    <w:tmpl w:val="B04A9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44963"/>
    <w:multiLevelType w:val="hybridMultilevel"/>
    <w:tmpl w:val="15E6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15B0C"/>
    <w:multiLevelType w:val="hybridMultilevel"/>
    <w:tmpl w:val="4BC8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875FC"/>
    <w:multiLevelType w:val="hybridMultilevel"/>
    <w:tmpl w:val="47D4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95EB6"/>
    <w:multiLevelType w:val="hybridMultilevel"/>
    <w:tmpl w:val="5CC8CD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636CE"/>
    <w:multiLevelType w:val="hybridMultilevel"/>
    <w:tmpl w:val="66F8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51548"/>
    <w:multiLevelType w:val="hybridMultilevel"/>
    <w:tmpl w:val="5DB4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D0C94"/>
    <w:multiLevelType w:val="hybridMultilevel"/>
    <w:tmpl w:val="7E84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B5ACC"/>
    <w:multiLevelType w:val="hybridMultilevel"/>
    <w:tmpl w:val="BF98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A46A2"/>
    <w:multiLevelType w:val="hybridMultilevel"/>
    <w:tmpl w:val="E3D6476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516F2A"/>
    <w:multiLevelType w:val="hybridMultilevel"/>
    <w:tmpl w:val="C59A5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A640D0"/>
    <w:multiLevelType w:val="hybridMultilevel"/>
    <w:tmpl w:val="A0B0199A"/>
    <w:lvl w:ilvl="0" w:tplc="04090017">
      <w:start w:val="1"/>
      <w:numFmt w:val="lowerLetter"/>
      <w:lvlText w:val="%1)"/>
      <w:lvlJc w:val="left"/>
      <w:pPr>
        <w:ind w:left="720" w:hanging="360"/>
      </w:pPr>
      <w:rPr>
        <w:rFonts w:hint="default"/>
      </w:rPr>
    </w:lvl>
    <w:lvl w:ilvl="1" w:tplc="71F8A5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C2525"/>
    <w:multiLevelType w:val="hybridMultilevel"/>
    <w:tmpl w:val="7860A0D4"/>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23" w15:restartNumberingAfterBreak="0">
    <w:nsid w:val="4BA95608"/>
    <w:multiLevelType w:val="multilevel"/>
    <w:tmpl w:val="2DD245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FB46221"/>
    <w:multiLevelType w:val="hybridMultilevel"/>
    <w:tmpl w:val="A3660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C0AA4"/>
    <w:multiLevelType w:val="hybridMultilevel"/>
    <w:tmpl w:val="EE8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D0049"/>
    <w:multiLevelType w:val="hybridMultilevel"/>
    <w:tmpl w:val="3490E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9264D3"/>
    <w:multiLevelType w:val="hybridMultilevel"/>
    <w:tmpl w:val="9EE89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817F52"/>
    <w:multiLevelType w:val="hybridMultilevel"/>
    <w:tmpl w:val="656C65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57FFE"/>
    <w:multiLevelType w:val="hybridMultilevel"/>
    <w:tmpl w:val="1D9EBF1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EC5C9B"/>
    <w:multiLevelType w:val="hybridMultilevel"/>
    <w:tmpl w:val="FDA2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A12D9"/>
    <w:multiLevelType w:val="hybridMultilevel"/>
    <w:tmpl w:val="9036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42A64"/>
    <w:multiLevelType w:val="hybridMultilevel"/>
    <w:tmpl w:val="9E9E88A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294B91"/>
    <w:multiLevelType w:val="hybridMultilevel"/>
    <w:tmpl w:val="593A7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0D5CA5"/>
    <w:multiLevelType w:val="hybridMultilevel"/>
    <w:tmpl w:val="E36426AE"/>
    <w:lvl w:ilvl="0" w:tplc="0409000D">
      <w:start w:val="1"/>
      <w:numFmt w:val="bullet"/>
      <w:lvlText w:val=""/>
      <w:lvlJc w:val="left"/>
      <w:pPr>
        <w:ind w:left="1440" w:hanging="360"/>
      </w:pPr>
      <w:rPr>
        <w:rFonts w:ascii="Wingdings" w:hAnsi="Wingdings" w:hint="default"/>
      </w:rPr>
    </w:lvl>
    <w:lvl w:ilvl="1" w:tplc="83CEEA6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E2FA6"/>
    <w:multiLevelType w:val="hybridMultilevel"/>
    <w:tmpl w:val="50A2BAD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A46CD"/>
    <w:multiLevelType w:val="hybridMultilevel"/>
    <w:tmpl w:val="BFA2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D116D"/>
    <w:multiLevelType w:val="multilevel"/>
    <w:tmpl w:val="510230B0"/>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E25B58"/>
    <w:multiLevelType w:val="hybridMultilevel"/>
    <w:tmpl w:val="3E58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532DA"/>
    <w:multiLevelType w:val="hybridMultilevel"/>
    <w:tmpl w:val="1E143EC8"/>
    <w:lvl w:ilvl="0" w:tplc="04090001">
      <w:start w:val="1"/>
      <w:numFmt w:val="bullet"/>
      <w:lvlText w:val=""/>
      <w:lvlJc w:val="left"/>
      <w:pPr>
        <w:ind w:left="720" w:hanging="360"/>
      </w:pPr>
      <w:rPr>
        <w:rFonts w:ascii="Symbol" w:hAnsi="Symbol" w:hint="default"/>
      </w:rPr>
    </w:lvl>
    <w:lvl w:ilvl="1" w:tplc="FE3CD1F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36BBB"/>
    <w:multiLevelType w:val="hybridMultilevel"/>
    <w:tmpl w:val="3F0E8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F664BF"/>
    <w:multiLevelType w:val="hybridMultilevel"/>
    <w:tmpl w:val="68921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0"/>
  </w:num>
  <w:num w:numId="3">
    <w:abstractNumId w:val="3"/>
  </w:num>
  <w:num w:numId="4">
    <w:abstractNumId w:val="6"/>
  </w:num>
  <w:num w:numId="5">
    <w:abstractNumId w:val="26"/>
  </w:num>
  <w:num w:numId="6">
    <w:abstractNumId w:val="13"/>
  </w:num>
  <w:num w:numId="7">
    <w:abstractNumId w:val="25"/>
  </w:num>
  <w:num w:numId="8">
    <w:abstractNumId w:val="23"/>
  </w:num>
  <w:num w:numId="9">
    <w:abstractNumId w:val="28"/>
  </w:num>
  <w:num w:numId="10">
    <w:abstractNumId w:val="30"/>
  </w:num>
  <w:num w:numId="11">
    <w:abstractNumId w:val="19"/>
  </w:num>
  <w:num w:numId="12">
    <w:abstractNumId w:val="24"/>
  </w:num>
  <w:num w:numId="13">
    <w:abstractNumId w:val="36"/>
  </w:num>
  <w:num w:numId="14">
    <w:abstractNumId w:val="12"/>
  </w:num>
  <w:num w:numId="15">
    <w:abstractNumId w:val="39"/>
  </w:num>
  <w:num w:numId="16">
    <w:abstractNumId w:val="14"/>
  </w:num>
  <w:num w:numId="17">
    <w:abstractNumId w:val="9"/>
  </w:num>
  <w:num w:numId="18">
    <w:abstractNumId w:val="35"/>
  </w:num>
  <w:num w:numId="19">
    <w:abstractNumId w:val="18"/>
  </w:num>
  <w:num w:numId="20">
    <w:abstractNumId w:val="7"/>
  </w:num>
  <w:num w:numId="21">
    <w:abstractNumId w:val="21"/>
  </w:num>
  <w:num w:numId="22">
    <w:abstractNumId w:val="11"/>
  </w:num>
  <w:num w:numId="23">
    <w:abstractNumId w:val="31"/>
  </w:num>
  <w:num w:numId="24">
    <w:abstractNumId w:val="2"/>
  </w:num>
  <w:num w:numId="25">
    <w:abstractNumId w:val="16"/>
  </w:num>
  <w:num w:numId="26">
    <w:abstractNumId w:val="8"/>
  </w:num>
  <w:num w:numId="27">
    <w:abstractNumId w:val="33"/>
  </w:num>
  <w:num w:numId="28">
    <w:abstractNumId w:val="5"/>
  </w:num>
  <w:num w:numId="29">
    <w:abstractNumId w:val="40"/>
  </w:num>
  <w:num w:numId="30">
    <w:abstractNumId w:val="41"/>
  </w:num>
  <w:num w:numId="31">
    <w:abstractNumId w:val="22"/>
  </w:num>
  <w:num w:numId="32">
    <w:abstractNumId w:val="27"/>
  </w:num>
  <w:num w:numId="33">
    <w:abstractNumId w:val="38"/>
  </w:num>
  <w:num w:numId="34">
    <w:abstractNumId w:val="15"/>
  </w:num>
  <w:num w:numId="35">
    <w:abstractNumId w:val="20"/>
  </w:num>
  <w:num w:numId="36">
    <w:abstractNumId w:val="0"/>
  </w:num>
  <w:num w:numId="37">
    <w:abstractNumId w:val="1"/>
  </w:num>
  <w:num w:numId="38">
    <w:abstractNumId w:val="4"/>
  </w:num>
  <w:num w:numId="39">
    <w:abstractNumId w:val="29"/>
  </w:num>
  <w:num w:numId="40">
    <w:abstractNumId w:val="17"/>
  </w:num>
  <w:num w:numId="41">
    <w:abstractNumId w:val="34"/>
  </w:num>
  <w:num w:numId="42">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C9"/>
    <w:rsid w:val="0000051E"/>
    <w:rsid w:val="00016F69"/>
    <w:rsid w:val="00033F15"/>
    <w:rsid w:val="0003518C"/>
    <w:rsid w:val="00042C2E"/>
    <w:rsid w:val="0004783E"/>
    <w:rsid w:val="00056C9A"/>
    <w:rsid w:val="00067D67"/>
    <w:rsid w:val="000710AA"/>
    <w:rsid w:val="00077321"/>
    <w:rsid w:val="0009182E"/>
    <w:rsid w:val="00097FF0"/>
    <w:rsid w:val="000A2E73"/>
    <w:rsid w:val="000A2FDF"/>
    <w:rsid w:val="000A3C5C"/>
    <w:rsid w:val="000D3B1A"/>
    <w:rsid w:val="000E2D47"/>
    <w:rsid w:val="000F003D"/>
    <w:rsid w:val="00107256"/>
    <w:rsid w:val="00121840"/>
    <w:rsid w:val="00121C85"/>
    <w:rsid w:val="00125258"/>
    <w:rsid w:val="00137A25"/>
    <w:rsid w:val="0016021E"/>
    <w:rsid w:val="00175553"/>
    <w:rsid w:val="001809D4"/>
    <w:rsid w:val="00182732"/>
    <w:rsid w:val="001832CE"/>
    <w:rsid w:val="001A05A8"/>
    <w:rsid w:val="001B124C"/>
    <w:rsid w:val="001B3993"/>
    <w:rsid w:val="001D19AE"/>
    <w:rsid w:val="001D752D"/>
    <w:rsid w:val="001F0347"/>
    <w:rsid w:val="001F68DD"/>
    <w:rsid w:val="00201D53"/>
    <w:rsid w:val="00207D02"/>
    <w:rsid w:val="00216707"/>
    <w:rsid w:val="00241145"/>
    <w:rsid w:val="002455F4"/>
    <w:rsid w:val="002546E5"/>
    <w:rsid w:val="00260B34"/>
    <w:rsid w:val="002830AB"/>
    <w:rsid w:val="0029468A"/>
    <w:rsid w:val="002C0FFD"/>
    <w:rsid w:val="002D1798"/>
    <w:rsid w:val="002D390E"/>
    <w:rsid w:val="002E2D94"/>
    <w:rsid w:val="0030193A"/>
    <w:rsid w:val="00325384"/>
    <w:rsid w:val="00335A6B"/>
    <w:rsid w:val="00336EB4"/>
    <w:rsid w:val="00341C2C"/>
    <w:rsid w:val="003500EC"/>
    <w:rsid w:val="0037518F"/>
    <w:rsid w:val="003863ED"/>
    <w:rsid w:val="003960EA"/>
    <w:rsid w:val="0039740A"/>
    <w:rsid w:val="003A2620"/>
    <w:rsid w:val="003D1290"/>
    <w:rsid w:val="003D1F64"/>
    <w:rsid w:val="003D3595"/>
    <w:rsid w:val="00411E3E"/>
    <w:rsid w:val="004423C3"/>
    <w:rsid w:val="00443FDA"/>
    <w:rsid w:val="00445FF9"/>
    <w:rsid w:val="0046560F"/>
    <w:rsid w:val="0046567C"/>
    <w:rsid w:val="00482EE1"/>
    <w:rsid w:val="00491FD4"/>
    <w:rsid w:val="004C1048"/>
    <w:rsid w:val="004D41B4"/>
    <w:rsid w:val="004D44E3"/>
    <w:rsid w:val="004D737B"/>
    <w:rsid w:val="004E235A"/>
    <w:rsid w:val="004F361F"/>
    <w:rsid w:val="005166EB"/>
    <w:rsid w:val="0052197E"/>
    <w:rsid w:val="00523756"/>
    <w:rsid w:val="00526208"/>
    <w:rsid w:val="00535DFE"/>
    <w:rsid w:val="00541762"/>
    <w:rsid w:val="00542CCE"/>
    <w:rsid w:val="0054735A"/>
    <w:rsid w:val="005564B0"/>
    <w:rsid w:val="00584688"/>
    <w:rsid w:val="00587905"/>
    <w:rsid w:val="005B2266"/>
    <w:rsid w:val="005D0AE8"/>
    <w:rsid w:val="005D4EDD"/>
    <w:rsid w:val="005E21A6"/>
    <w:rsid w:val="005F0C1B"/>
    <w:rsid w:val="005F1D54"/>
    <w:rsid w:val="005F4E34"/>
    <w:rsid w:val="005F7539"/>
    <w:rsid w:val="00620542"/>
    <w:rsid w:val="00621496"/>
    <w:rsid w:val="0065443E"/>
    <w:rsid w:val="00655BD9"/>
    <w:rsid w:val="006658DB"/>
    <w:rsid w:val="00673E9C"/>
    <w:rsid w:val="00686357"/>
    <w:rsid w:val="00696C38"/>
    <w:rsid w:val="006A2F7B"/>
    <w:rsid w:val="006B3E2F"/>
    <w:rsid w:val="006E3035"/>
    <w:rsid w:val="006E75BF"/>
    <w:rsid w:val="006F5B83"/>
    <w:rsid w:val="006F6142"/>
    <w:rsid w:val="00744146"/>
    <w:rsid w:val="00772343"/>
    <w:rsid w:val="00774578"/>
    <w:rsid w:val="0078407B"/>
    <w:rsid w:val="007F39A4"/>
    <w:rsid w:val="0081544A"/>
    <w:rsid w:val="008335CF"/>
    <w:rsid w:val="00833BDE"/>
    <w:rsid w:val="0085268C"/>
    <w:rsid w:val="00856C04"/>
    <w:rsid w:val="0088748A"/>
    <w:rsid w:val="008874EE"/>
    <w:rsid w:val="00893D60"/>
    <w:rsid w:val="008A7C12"/>
    <w:rsid w:val="008B1225"/>
    <w:rsid w:val="008C2F35"/>
    <w:rsid w:val="00912A39"/>
    <w:rsid w:val="00920E5D"/>
    <w:rsid w:val="00937605"/>
    <w:rsid w:val="009469C4"/>
    <w:rsid w:val="00950B9A"/>
    <w:rsid w:val="00967234"/>
    <w:rsid w:val="00993DD1"/>
    <w:rsid w:val="009B2DEB"/>
    <w:rsid w:val="009E4471"/>
    <w:rsid w:val="00A055C9"/>
    <w:rsid w:val="00A22099"/>
    <w:rsid w:val="00A26FBD"/>
    <w:rsid w:val="00A41E76"/>
    <w:rsid w:val="00A52EA7"/>
    <w:rsid w:val="00A66BFE"/>
    <w:rsid w:val="00A70D68"/>
    <w:rsid w:val="00A75B92"/>
    <w:rsid w:val="00A81A28"/>
    <w:rsid w:val="00A85A04"/>
    <w:rsid w:val="00A956B5"/>
    <w:rsid w:val="00A96843"/>
    <w:rsid w:val="00AE467F"/>
    <w:rsid w:val="00AE49A9"/>
    <w:rsid w:val="00B141F8"/>
    <w:rsid w:val="00B15B01"/>
    <w:rsid w:val="00B55C7E"/>
    <w:rsid w:val="00B56D10"/>
    <w:rsid w:val="00B7070B"/>
    <w:rsid w:val="00B774E9"/>
    <w:rsid w:val="00B80977"/>
    <w:rsid w:val="00B83495"/>
    <w:rsid w:val="00B86694"/>
    <w:rsid w:val="00B9157B"/>
    <w:rsid w:val="00B95F78"/>
    <w:rsid w:val="00B96402"/>
    <w:rsid w:val="00BD07B5"/>
    <w:rsid w:val="00BD1A19"/>
    <w:rsid w:val="00BE08D1"/>
    <w:rsid w:val="00BE1FEB"/>
    <w:rsid w:val="00BE3E5F"/>
    <w:rsid w:val="00BE620D"/>
    <w:rsid w:val="00C06C63"/>
    <w:rsid w:val="00C16323"/>
    <w:rsid w:val="00C74C40"/>
    <w:rsid w:val="00C74F4B"/>
    <w:rsid w:val="00C95610"/>
    <w:rsid w:val="00CA2CB9"/>
    <w:rsid w:val="00CA49C3"/>
    <w:rsid w:val="00CD710B"/>
    <w:rsid w:val="00CE3832"/>
    <w:rsid w:val="00CE4FBE"/>
    <w:rsid w:val="00CF3B14"/>
    <w:rsid w:val="00D074AF"/>
    <w:rsid w:val="00D17439"/>
    <w:rsid w:val="00D2418B"/>
    <w:rsid w:val="00D35188"/>
    <w:rsid w:val="00D37B9C"/>
    <w:rsid w:val="00D608A9"/>
    <w:rsid w:val="00D62C89"/>
    <w:rsid w:val="00D80267"/>
    <w:rsid w:val="00D87D9F"/>
    <w:rsid w:val="00D957DB"/>
    <w:rsid w:val="00E1240C"/>
    <w:rsid w:val="00E2032E"/>
    <w:rsid w:val="00E3200C"/>
    <w:rsid w:val="00E51931"/>
    <w:rsid w:val="00E565C8"/>
    <w:rsid w:val="00E57567"/>
    <w:rsid w:val="00E63FC2"/>
    <w:rsid w:val="00E646C7"/>
    <w:rsid w:val="00E7195A"/>
    <w:rsid w:val="00EB2DD0"/>
    <w:rsid w:val="00EC5D93"/>
    <w:rsid w:val="00EE3ED9"/>
    <w:rsid w:val="00EE7B79"/>
    <w:rsid w:val="00EF424C"/>
    <w:rsid w:val="00F036B1"/>
    <w:rsid w:val="00F03B4F"/>
    <w:rsid w:val="00F04FB8"/>
    <w:rsid w:val="00F26499"/>
    <w:rsid w:val="00F428C0"/>
    <w:rsid w:val="00F54AFB"/>
    <w:rsid w:val="00F57023"/>
    <w:rsid w:val="00F57736"/>
    <w:rsid w:val="00F74CE3"/>
    <w:rsid w:val="00FB20DB"/>
    <w:rsid w:val="00FD7D0C"/>
    <w:rsid w:val="00FE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61605-25CB-D341-B707-7EECB1C2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6142"/>
    <w:pPr>
      <w:keepNext/>
      <w:keepLines/>
      <w:spacing w:after="0" w:line="240" w:lineRule="auto"/>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ar"/>
    <w:uiPriority w:val="9"/>
    <w:unhideWhenUsed/>
    <w:qFormat/>
    <w:rsid w:val="00673E9C"/>
    <w:pPr>
      <w:keepNext/>
      <w:keepLines/>
      <w:spacing w:after="0" w:line="240" w:lineRule="auto"/>
      <w:outlineLvl w:val="1"/>
    </w:pPr>
    <w:rPr>
      <w:rFonts w:ascii="Arial" w:eastAsiaTheme="majorEastAsia" w:hAnsi="Arial" w:cstheme="majorBidi"/>
      <w:b/>
      <w:color w:val="000000" w:themeColor="text1"/>
      <w:sz w:val="24"/>
      <w:szCs w:val="26"/>
    </w:rPr>
  </w:style>
  <w:style w:type="paragraph" w:styleId="Ttulo3">
    <w:name w:val="heading 3"/>
    <w:basedOn w:val="Normal"/>
    <w:next w:val="Normal"/>
    <w:link w:val="Ttulo3Car"/>
    <w:uiPriority w:val="9"/>
    <w:unhideWhenUsed/>
    <w:qFormat/>
    <w:rsid w:val="006F6142"/>
    <w:pPr>
      <w:keepNext/>
      <w:keepLines/>
      <w:spacing w:after="0" w:line="240" w:lineRule="auto"/>
      <w:outlineLvl w:val="2"/>
    </w:pPr>
    <w:rPr>
      <w:rFonts w:ascii="Arial" w:eastAsiaTheme="majorEastAsia" w:hAnsi="Arial" w:cstheme="majorBidi"/>
      <w:b/>
      <w:color w:val="000000" w:themeColor="text1"/>
      <w:sz w:val="24"/>
      <w:szCs w:val="24"/>
    </w:rPr>
  </w:style>
  <w:style w:type="paragraph" w:styleId="Ttulo5">
    <w:name w:val="heading 5"/>
    <w:basedOn w:val="Normal"/>
    <w:link w:val="Ttulo5Car"/>
    <w:uiPriority w:val="9"/>
    <w:qFormat/>
    <w:rsid w:val="0000051E"/>
    <w:pPr>
      <w:spacing w:before="100" w:beforeAutospacing="1" w:after="100" w:afterAutospacing="1" w:line="240" w:lineRule="auto"/>
      <w:outlineLvl w:val="4"/>
    </w:pPr>
    <w:rPr>
      <w:rFonts w:ascii="Times New Roman" w:eastAsia="Times New Roman" w:hAnsi="Times New Roman" w:cs="Times New Roman"/>
      <w:b/>
      <w:bCs/>
      <w:sz w:val="20"/>
      <w:szCs w:val="20"/>
      <w:lang w:val="es-BO"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905"/>
    <w:pPr>
      <w:ind w:left="720"/>
      <w:contextualSpacing/>
    </w:pPr>
  </w:style>
  <w:style w:type="paragraph" w:styleId="NormalWeb">
    <w:name w:val="Normal (Web)"/>
    <w:basedOn w:val="Normal"/>
    <w:uiPriority w:val="99"/>
    <w:unhideWhenUsed/>
    <w:rsid w:val="00523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F68D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A26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620"/>
  </w:style>
  <w:style w:type="paragraph" w:styleId="Piedepgina">
    <w:name w:val="footer"/>
    <w:basedOn w:val="Normal"/>
    <w:link w:val="PiedepginaCar"/>
    <w:uiPriority w:val="99"/>
    <w:unhideWhenUsed/>
    <w:rsid w:val="003A26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620"/>
  </w:style>
  <w:style w:type="paragraph" w:styleId="Ttulo">
    <w:name w:val="Title"/>
    <w:basedOn w:val="Normal"/>
    <w:next w:val="Normal"/>
    <w:link w:val="TtuloCar"/>
    <w:uiPriority w:val="10"/>
    <w:qFormat/>
    <w:rsid w:val="00443FDA"/>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tuloCar">
    <w:name w:val="Título Car"/>
    <w:basedOn w:val="Fuentedeprrafopredeter"/>
    <w:link w:val="Ttulo"/>
    <w:uiPriority w:val="10"/>
    <w:rsid w:val="00443FDA"/>
    <w:rPr>
      <w:rFonts w:asciiTheme="majorHAnsi" w:eastAsiaTheme="majorEastAsia" w:hAnsiTheme="majorHAnsi" w:cstheme="majorBidi"/>
      <w:color w:val="404040" w:themeColor="text1" w:themeTint="BF"/>
      <w:spacing w:val="-10"/>
      <w:kern w:val="28"/>
      <w:sz w:val="56"/>
      <w:szCs w:val="56"/>
    </w:rPr>
  </w:style>
  <w:style w:type="paragraph" w:styleId="Subttulo">
    <w:name w:val="Subtitle"/>
    <w:basedOn w:val="Normal"/>
    <w:next w:val="Normal"/>
    <w:link w:val="SubttuloCar"/>
    <w:uiPriority w:val="11"/>
    <w:qFormat/>
    <w:rsid w:val="00443FDA"/>
    <w:pPr>
      <w:numPr>
        <w:ilvl w:val="1"/>
      </w:numPr>
    </w:pPr>
    <w:rPr>
      <w:rFonts w:eastAsiaTheme="minorEastAsia" w:cs="Times New Roman"/>
      <w:color w:val="5A5A5A" w:themeColor="text1" w:themeTint="A5"/>
      <w:spacing w:val="15"/>
    </w:rPr>
  </w:style>
  <w:style w:type="character" w:customStyle="1" w:styleId="SubttuloCar">
    <w:name w:val="Subtítulo Car"/>
    <w:basedOn w:val="Fuentedeprrafopredeter"/>
    <w:link w:val="Subttulo"/>
    <w:uiPriority w:val="11"/>
    <w:rsid w:val="00443FDA"/>
    <w:rPr>
      <w:rFonts w:eastAsiaTheme="minorEastAsia" w:cs="Times New Roman"/>
      <w:color w:val="5A5A5A" w:themeColor="text1" w:themeTint="A5"/>
      <w:spacing w:val="15"/>
    </w:rPr>
  </w:style>
  <w:style w:type="table" w:styleId="Tablaconcuadrcula">
    <w:name w:val="Table Grid"/>
    <w:basedOn w:val="Tablanormal"/>
    <w:uiPriority w:val="59"/>
    <w:rsid w:val="00D1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D174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0051E"/>
    <w:rPr>
      <w:rFonts w:ascii="Times New Roman" w:eastAsia="Times New Roman" w:hAnsi="Times New Roman" w:cs="Times New Roman"/>
      <w:b/>
      <w:bCs/>
      <w:sz w:val="20"/>
      <w:szCs w:val="20"/>
      <w:lang w:val="es-BO" w:eastAsia="es-BO"/>
    </w:rPr>
  </w:style>
  <w:style w:type="character" w:customStyle="1" w:styleId="apple-converted-space">
    <w:name w:val="apple-converted-space"/>
    <w:basedOn w:val="Fuentedeprrafopredeter"/>
    <w:rsid w:val="0046560F"/>
  </w:style>
  <w:style w:type="character" w:styleId="nfasis">
    <w:name w:val="Emphasis"/>
    <w:basedOn w:val="Fuentedeprrafopredeter"/>
    <w:uiPriority w:val="20"/>
    <w:qFormat/>
    <w:rsid w:val="0046560F"/>
    <w:rPr>
      <w:i/>
      <w:iCs/>
    </w:rPr>
  </w:style>
  <w:style w:type="character" w:styleId="Textoennegrita">
    <w:name w:val="Strong"/>
    <w:basedOn w:val="Fuentedeprrafopredeter"/>
    <w:uiPriority w:val="22"/>
    <w:qFormat/>
    <w:rsid w:val="00207D02"/>
    <w:rPr>
      <w:b/>
      <w:bCs/>
    </w:rPr>
  </w:style>
  <w:style w:type="paragraph" w:styleId="Textonotapie">
    <w:name w:val="footnote text"/>
    <w:basedOn w:val="Normal"/>
    <w:link w:val="TextonotapieCar"/>
    <w:uiPriority w:val="99"/>
    <w:semiHidden/>
    <w:unhideWhenUsed/>
    <w:rsid w:val="00CE4F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4FBE"/>
    <w:rPr>
      <w:sz w:val="20"/>
      <w:szCs w:val="20"/>
    </w:rPr>
  </w:style>
  <w:style w:type="character" w:styleId="Refdenotaalpie">
    <w:name w:val="footnote reference"/>
    <w:basedOn w:val="Fuentedeprrafopredeter"/>
    <w:uiPriority w:val="99"/>
    <w:semiHidden/>
    <w:unhideWhenUsed/>
    <w:rsid w:val="00CE4FBE"/>
    <w:rPr>
      <w:vertAlign w:val="superscript"/>
    </w:rPr>
  </w:style>
  <w:style w:type="character" w:styleId="Hipervnculo">
    <w:name w:val="Hyperlink"/>
    <w:basedOn w:val="Fuentedeprrafopredeter"/>
    <w:uiPriority w:val="99"/>
    <w:unhideWhenUsed/>
    <w:rsid w:val="00336EB4"/>
    <w:rPr>
      <w:color w:val="0000FF"/>
      <w:u w:val="single"/>
    </w:rPr>
  </w:style>
  <w:style w:type="character" w:customStyle="1" w:styleId="Ttulo1Car">
    <w:name w:val="Título 1 Car"/>
    <w:basedOn w:val="Fuentedeprrafopredeter"/>
    <w:link w:val="Ttulo1"/>
    <w:uiPriority w:val="9"/>
    <w:rsid w:val="006F6142"/>
    <w:rPr>
      <w:rFonts w:ascii="Arial" w:eastAsiaTheme="majorEastAsia" w:hAnsi="Arial" w:cstheme="majorBidi"/>
      <w:b/>
      <w:color w:val="000000" w:themeColor="text1"/>
      <w:sz w:val="24"/>
      <w:szCs w:val="32"/>
    </w:rPr>
  </w:style>
  <w:style w:type="character" w:customStyle="1" w:styleId="Ttulo2Car">
    <w:name w:val="Título 2 Car"/>
    <w:basedOn w:val="Fuentedeprrafopredeter"/>
    <w:link w:val="Ttulo2"/>
    <w:uiPriority w:val="9"/>
    <w:rsid w:val="00673E9C"/>
    <w:rPr>
      <w:rFonts w:ascii="Arial" w:eastAsiaTheme="majorEastAsia" w:hAnsi="Arial" w:cstheme="majorBidi"/>
      <w:b/>
      <w:color w:val="000000" w:themeColor="text1"/>
      <w:sz w:val="24"/>
      <w:szCs w:val="26"/>
    </w:rPr>
  </w:style>
  <w:style w:type="character" w:customStyle="1" w:styleId="Ttulo3Car">
    <w:name w:val="Título 3 Car"/>
    <w:basedOn w:val="Fuentedeprrafopredeter"/>
    <w:link w:val="Ttulo3"/>
    <w:uiPriority w:val="9"/>
    <w:rsid w:val="006F6142"/>
    <w:rPr>
      <w:rFonts w:ascii="Arial" w:eastAsiaTheme="majorEastAsia" w:hAnsi="Arial" w:cstheme="majorBidi"/>
      <w:b/>
      <w:color w:val="000000" w:themeColor="text1"/>
      <w:sz w:val="24"/>
      <w:szCs w:val="24"/>
    </w:rPr>
  </w:style>
  <w:style w:type="paragraph" w:styleId="TtuloTDC">
    <w:name w:val="TOC Heading"/>
    <w:basedOn w:val="Ttulo1"/>
    <w:next w:val="Normal"/>
    <w:uiPriority w:val="39"/>
    <w:unhideWhenUsed/>
    <w:qFormat/>
    <w:rsid w:val="005D4EDD"/>
    <w:pPr>
      <w:spacing w:before="240" w:line="259" w:lineRule="auto"/>
      <w:outlineLvl w:val="9"/>
    </w:pPr>
    <w:rPr>
      <w:rFonts w:asciiTheme="majorHAnsi" w:hAnsiTheme="majorHAnsi"/>
      <w:b w:val="0"/>
      <w:color w:val="2E74B5" w:themeColor="accent1" w:themeShade="BF"/>
      <w:sz w:val="32"/>
    </w:rPr>
  </w:style>
  <w:style w:type="paragraph" w:styleId="TDC1">
    <w:name w:val="toc 1"/>
    <w:basedOn w:val="Normal"/>
    <w:next w:val="Normal"/>
    <w:autoRedefine/>
    <w:uiPriority w:val="39"/>
    <w:unhideWhenUsed/>
    <w:rsid w:val="009E4471"/>
    <w:pPr>
      <w:tabs>
        <w:tab w:val="left" w:pos="284"/>
        <w:tab w:val="right" w:leader="dot" w:pos="9061"/>
      </w:tabs>
      <w:spacing w:after="100"/>
    </w:pPr>
  </w:style>
  <w:style w:type="paragraph" w:styleId="TDC2">
    <w:name w:val="toc 2"/>
    <w:basedOn w:val="Normal"/>
    <w:next w:val="Normal"/>
    <w:autoRedefine/>
    <w:uiPriority w:val="39"/>
    <w:unhideWhenUsed/>
    <w:rsid w:val="005D4EDD"/>
    <w:pPr>
      <w:spacing w:after="100"/>
      <w:ind w:left="220"/>
    </w:pPr>
  </w:style>
  <w:style w:type="paragraph" w:styleId="TDC3">
    <w:name w:val="toc 3"/>
    <w:basedOn w:val="Normal"/>
    <w:next w:val="Normal"/>
    <w:autoRedefine/>
    <w:uiPriority w:val="39"/>
    <w:unhideWhenUsed/>
    <w:rsid w:val="005D4EDD"/>
    <w:pPr>
      <w:spacing w:after="100"/>
      <w:ind w:left="440"/>
    </w:pPr>
  </w:style>
  <w:style w:type="paragraph" w:styleId="Textodeglobo">
    <w:name w:val="Balloon Text"/>
    <w:basedOn w:val="Normal"/>
    <w:link w:val="TextodegloboCar"/>
    <w:uiPriority w:val="99"/>
    <w:semiHidden/>
    <w:unhideWhenUsed/>
    <w:rsid w:val="003D1F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1F64"/>
    <w:rPr>
      <w:rFonts w:ascii="Tahoma" w:hAnsi="Tahoma" w:cs="Tahoma"/>
      <w:sz w:val="16"/>
      <w:szCs w:val="16"/>
    </w:rPr>
  </w:style>
  <w:style w:type="character" w:styleId="Nmerodepgina">
    <w:name w:val="page number"/>
    <w:basedOn w:val="Fuentedeprrafopredeter"/>
    <w:uiPriority w:val="99"/>
    <w:unhideWhenUsed/>
    <w:rsid w:val="00B8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07437">
      <w:bodyDiv w:val="1"/>
      <w:marLeft w:val="0"/>
      <w:marRight w:val="0"/>
      <w:marTop w:val="0"/>
      <w:marBottom w:val="0"/>
      <w:divBdr>
        <w:top w:val="none" w:sz="0" w:space="0" w:color="auto"/>
        <w:left w:val="none" w:sz="0" w:space="0" w:color="auto"/>
        <w:bottom w:val="none" w:sz="0" w:space="0" w:color="auto"/>
        <w:right w:val="none" w:sz="0" w:space="0" w:color="auto"/>
      </w:divBdr>
    </w:div>
    <w:div w:id="679235896">
      <w:bodyDiv w:val="1"/>
      <w:marLeft w:val="0"/>
      <w:marRight w:val="0"/>
      <w:marTop w:val="0"/>
      <w:marBottom w:val="0"/>
      <w:divBdr>
        <w:top w:val="none" w:sz="0" w:space="0" w:color="auto"/>
        <w:left w:val="none" w:sz="0" w:space="0" w:color="auto"/>
        <w:bottom w:val="none" w:sz="0" w:space="0" w:color="auto"/>
        <w:right w:val="none" w:sz="0" w:space="0" w:color="auto"/>
      </w:divBdr>
    </w:div>
    <w:div w:id="838352232">
      <w:bodyDiv w:val="1"/>
      <w:marLeft w:val="0"/>
      <w:marRight w:val="0"/>
      <w:marTop w:val="0"/>
      <w:marBottom w:val="0"/>
      <w:divBdr>
        <w:top w:val="none" w:sz="0" w:space="0" w:color="auto"/>
        <w:left w:val="none" w:sz="0" w:space="0" w:color="auto"/>
        <w:bottom w:val="none" w:sz="0" w:space="0" w:color="auto"/>
        <w:right w:val="none" w:sz="0" w:space="0" w:color="auto"/>
      </w:divBdr>
    </w:div>
    <w:div w:id="929775440">
      <w:bodyDiv w:val="1"/>
      <w:marLeft w:val="0"/>
      <w:marRight w:val="0"/>
      <w:marTop w:val="0"/>
      <w:marBottom w:val="0"/>
      <w:divBdr>
        <w:top w:val="none" w:sz="0" w:space="0" w:color="auto"/>
        <w:left w:val="none" w:sz="0" w:space="0" w:color="auto"/>
        <w:bottom w:val="none" w:sz="0" w:space="0" w:color="auto"/>
        <w:right w:val="none" w:sz="0" w:space="0" w:color="auto"/>
      </w:divBdr>
    </w:div>
    <w:div w:id="1000039629">
      <w:bodyDiv w:val="1"/>
      <w:marLeft w:val="0"/>
      <w:marRight w:val="0"/>
      <w:marTop w:val="0"/>
      <w:marBottom w:val="0"/>
      <w:divBdr>
        <w:top w:val="none" w:sz="0" w:space="0" w:color="auto"/>
        <w:left w:val="none" w:sz="0" w:space="0" w:color="auto"/>
        <w:bottom w:val="none" w:sz="0" w:space="0" w:color="auto"/>
        <w:right w:val="none" w:sz="0" w:space="0" w:color="auto"/>
      </w:divBdr>
    </w:div>
    <w:div w:id="1025062858">
      <w:bodyDiv w:val="1"/>
      <w:marLeft w:val="0"/>
      <w:marRight w:val="0"/>
      <w:marTop w:val="0"/>
      <w:marBottom w:val="0"/>
      <w:divBdr>
        <w:top w:val="none" w:sz="0" w:space="0" w:color="auto"/>
        <w:left w:val="none" w:sz="0" w:space="0" w:color="auto"/>
        <w:bottom w:val="none" w:sz="0" w:space="0" w:color="auto"/>
        <w:right w:val="none" w:sz="0" w:space="0" w:color="auto"/>
      </w:divBdr>
    </w:div>
    <w:div w:id="1069695555">
      <w:bodyDiv w:val="1"/>
      <w:marLeft w:val="0"/>
      <w:marRight w:val="0"/>
      <w:marTop w:val="0"/>
      <w:marBottom w:val="0"/>
      <w:divBdr>
        <w:top w:val="none" w:sz="0" w:space="0" w:color="auto"/>
        <w:left w:val="none" w:sz="0" w:space="0" w:color="auto"/>
        <w:bottom w:val="none" w:sz="0" w:space="0" w:color="auto"/>
        <w:right w:val="none" w:sz="0" w:space="0" w:color="auto"/>
      </w:divBdr>
    </w:div>
    <w:div w:id="1075401200">
      <w:bodyDiv w:val="1"/>
      <w:marLeft w:val="0"/>
      <w:marRight w:val="0"/>
      <w:marTop w:val="0"/>
      <w:marBottom w:val="0"/>
      <w:divBdr>
        <w:top w:val="none" w:sz="0" w:space="0" w:color="auto"/>
        <w:left w:val="none" w:sz="0" w:space="0" w:color="auto"/>
        <w:bottom w:val="none" w:sz="0" w:space="0" w:color="auto"/>
        <w:right w:val="none" w:sz="0" w:space="0" w:color="auto"/>
      </w:divBdr>
    </w:div>
    <w:div w:id="1132553213">
      <w:bodyDiv w:val="1"/>
      <w:marLeft w:val="0"/>
      <w:marRight w:val="0"/>
      <w:marTop w:val="0"/>
      <w:marBottom w:val="0"/>
      <w:divBdr>
        <w:top w:val="none" w:sz="0" w:space="0" w:color="auto"/>
        <w:left w:val="none" w:sz="0" w:space="0" w:color="auto"/>
        <w:bottom w:val="none" w:sz="0" w:space="0" w:color="auto"/>
        <w:right w:val="none" w:sz="0" w:space="0" w:color="auto"/>
      </w:divBdr>
    </w:div>
    <w:div w:id="1160002456">
      <w:bodyDiv w:val="1"/>
      <w:marLeft w:val="0"/>
      <w:marRight w:val="0"/>
      <w:marTop w:val="0"/>
      <w:marBottom w:val="0"/>
      <w:divBdr>
        <w:top w:val="none" w:sz="0" w:space="0" w:color="auto"/>
        <w:left w:val="none" w:sz="0" w:space="0" w:color="auto"/>
        <w:bottom w:val="none" w:sz="0" w:space="0" w:color="auto"/>
        <w:right w:val="none" w:sz="0" w:space="0" w:color="auto"/>
      </w:divBdr>
      <w:divsChild>
        <w:div w:id="1136794296">
          <w:marLeft w:val="1166"/>
          <w:marRight w:val="0"/>
          <w:marTop w:val="0"/>
          <w:marBottom w:val="0"/>
          <w:divBdr>
            <w:top w:val="none" w:sz="0" w:space="0" w:color="auto"/>
            <w:left w:val="none" w:sz="0" w:space="0" w:color="auto"/>
            <w:bottom w:val="none" w:sz="0" w:space="0" w:color="auto"/>
            <w:right w:val="none" w:sz="0" w:space="0" w:color="auto"/>
          </w:divBdr>
        </w:div>
        <w:div w:id="598757948">
          <w:marLeft w:val="1166"/>
          <w:marRight w:val="0"/>
          <w:marTop w:val="0"/>
          <w:marBottom w:val="0"/>
          <w:divBdr>
            <w:top w:val="none" w:sz="0" w:space="0" w:color="auto"/>
            <w:left w:val="none" w:sz="0" w:space="0" w:color="auto"/>
            <w:bottom w:val="none" w:sz="0" w:space="0" w:color="auto"/>
            <w:right w:val="none" w:sz="0" w:space="0" w:color="auto"/>
          </w:divBdr>
        </w:div>
        <w:div w:id="496724788">
          <w:marLeft w:val="1166"/>
          <w:marRight w:val="0"/>
          <w:marTop w:val="0"/>
          <w:marBottom w:val="0"/>
          <w:divBdr>
            <w:top w:val="none" w:sz="0" w:space="0" w:color="auto"/>
            <w:left w:val="none" w:sz="0" w:space="0" w:color="auto"/>
            <w:bottom w:val="none" w:sz="0" w:space="0" w:color="auto"/>
            <w:right w:val="none" w:sz="0" w:space="0" w:color="auto"/>
          </w:divBdr>
        </w:div>
        <w:div w:id="1722947632">
          <w:marLeft w:val="1166"/>
          <w:marRight w:val="0"/>
          <w:marTop w:val="0"/>
          <w:marBottom w:val="0"/>
          <w:divBdr>
            <w:top w:val="none" w:sz="0" w:space="0" w:color="auto"/>
            <w:left w:val="none" w:sz="0" w:space="0" w:color="auto"/>
            <w:bottom w:val="none" w:sz="0" w:space="0" w:color="auto"/>
            <w:right w:val="none" w:sz="0" w:space="0" w:color="auto"/>
          </w:divBdr>
        </w:div>
        <w:div w:id="1600410298">
          <w:marLeft w:val="1166"/>
          <w:marRight w:val="0"/>
          <w:marTop w:val="0"/>
          <w:marBottom w:val="0"/>
          <w:divBdr>
            <w:top w:val="none" w:sz="0" w:space="0" w:color="auto"/>
            <w:left w:val="none" w:sz="0" w:space="0" w:color="auto"/>
            <w:bottom w:val="none" w:sz="0" w:space="0" w:color="auto"/>
            <w:right w:val="none" w:sz="0" w:space="0" w:color="auto"/>
          </w:divBdr>
        </w:div>
      </w:divsChild>
    </w:div>
    <w:div w:id="1437285193">
      <w:bodyDiv w:val="1"/>
      <w:marLeft w:val="0"/>
      <w:marRight w:val="0"/>
      <w:marTop w:val="0"/>
      <w:marBottom w:val="0"/>
      <w:divBdr>
        <w:top w:val="none" w:sz="0" w:space="0" w:color="auto"/>
        <w:left w:val="none" w:sz="0" w:space="0" w:color="auto"/>
        <w:bottom w:val="none" w:sz="0" w:space="0" w:color="auto"/>
        <w:right w:val="none" w:sz="0" w:space="0" w:color="auto"/>
      </w:divBdr>
    </w:div>
    <w:div w:id="1533500168">
      <w:bodyDiv w:val="1"/>
      <w:marLeft w:val="0"/>
      <w:marRight w:val="0"/>
      <w:marTop w:val="0"/>
      <w:marBottom w:val="0"/>
      <w:divBdr>
        <w:top w:val="none" w:sz="0" w:space="0" w:color="auto"/>
        <w:left w:val="none" w:sz="0" w:space="0" w:color="auto"/>
        <w:bottom w:val="none" w:sz="0" w:space="0" w:color="auto"/>
        <w:right w:val="none" w:sz="0" w:space="0" w:color="auto"/>
      </w:divBdr>
    </w:div>
    <w:div w:id="1582985571">
      <w:bodyDiv w:val="1"/>
      <w:marLeft w:val="0"/>
      <w:marRight w:val="0"/>
      <w:marTop w:val="0"/>
      <w:marBottom w:val="0"/>
      <w:divBdr>
        <w:top w:val="none" w:sz="0" w:space="0" w:color="auto"/>
        <w:left w:val="none" w:sz="0" w:space="0" w:color="auto"/>
        <w:bottom w:val="none" w:sz="0" w:space="0" w:color="auto"/>
        <w:right w:val="none" w:sz="0" w:space="0" w:color="auto"/>
      </w:divBdr>
    </w:div>
    <w:div w:id="1641770165">
      <w:bodyDiv w:val="1"/>
      <w:marLeft w:val="0"/>
      <w:marRight w:val="0"/>
      <w:marTop w:val="0"/>
      <w:marBottom w:val="0"/>
      <w:divBdr>
        <w:top w:val="none" w:sz="0" w:space="0" w:color="auto"/>
        <w:left w:val="none" w:sz="0" w:space="0" w:color="auto"/>
        <w:bottom w:val="none" w:sz="0" w:space="0" w:color="auto"/>
        <w:right w:val="none" w:sz="0" w:space="0" w:color="auto"/>
      </w:divBdr>
    </w:div>
    <w:div w:id="1665939394">
      <w:bodyDiv w:val="1"/>
      <w:marLeft w:val="0"/>
      <w:marRight w:val="0"/>
      <w:marTop w:val="0"/>
      <w:marBottom w:val="0"/>
      <w:divBdr>
        <w:top w:val="none" w:sz="0" w:space="0" w:color="auto"/>
        <w:left w:val="none" w:sz="0" w:space="0" w:color="auto"/>
        <w:bottom w:val="none" w:sz="0" w:space="0" w:color="auto"/>
        <w:right w:val="none" w:sz="0" w:space="0" w:color="auto"/>
      </w:divBdr>
    </w:div>
    <w:div w:id="2067609931">
      <w:bodyDiv w:val="1"/>
      <w:marLeft w:val="0"/>
      <w:marRight w:val="0"/>
      <w:marTop w:val="0"/>
      <w:marBottom w:val="0"/>
      <w:divBdr>
        <w:top w:val="none" w:sz="0" w:space="0" w:color="auto"/>
        <w:left w:val="none" w:sz="0" w:space="0" w:color="auto"/>
        <w:bottom w:val="none" w:sz="0" w:space="0" w:color="auto"/>
        <w:right w:val="none" w:sz="0" w:space="0" w:color="auto"/>
      </w:divBdr>
    </w:div>
    <w:div w:id="21355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lexivox.org/norms/BO-L-N767.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CULTAD%20TECNOLOGIA\Desktop\Presupuesto%202015%20SU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ACULTAD%20TECNOLOGIA\Desktop\Presupuesto%202015%20SU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ACULTAD%20TECNOLOGIA\Desktop\Presupuesto%202015%20SU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Hoja5!$C$4</c:f>
              <c:strCache>
                <c:ptCount val="1"/>
                <c:pt idx="0">
                  <c:v>PRECIO [$us]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Hoja5!$B$5:$B$15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xVal>
          <c:yVal>
            <c:numRef>
              <c:f>Hoja5!$C$5:$C$15</c:f>
              <c:numCache>
                <c:formatCode>0.00</c:formatCode>
                <c:ptCount val="11"/>
                <c:pt idx="0">
                  <c:v>66.150000000000006</c:v>
                </c:pt>
                <c:pt idx="1">
                  <c:v>72.376681557731615</c:v>
                </c:pt>
                <c:pt idx="2">
                  <c:v>99.768156369596596</c:v>
                </c:pt>
                <c:pt idx="3">
                  <c:v>61.641740040153081</c:v>
                </c:pt>
                <c:pt idx="4">
                  <c:v>79.430969148001765</c:v>
                </c:pt>
                <c:pt idx="5">
                  <c:v>94.905879164313944</c:v>
                </c:pt>
                <c:pt idx="6">
                  <c:v>94.182236299328679</c:v>
                </c:pt>
                <c:pt idx="7">
                  <c:v>97.961882724763171</c:v>
                </c:pt>
                <c:pt idx="8">
                  <c:v>93.020719257795349</c:v>
                </c:pt>
                <c:pt idx="9">
                  <c:v>49.063127254689761</c:v>
                </c:pt>
                <c:pt idx="10">
                  <c:v>43.34</c:v>
                </c:pt>
              </c:numCache>
            </c:numRef>
          </c:yVal>
          <c:smooth val="0"/>
          <c:extLst>
            <c:ext xmlns:c16="http://schemas.microsoft.com/office/drawing/2014/chart" uri="{C3380CC4-5D6E-409C-BE32-E72D297353CC}">
              <c16:uniqueId val="{00000000-9874-4C83-A8ED-9EFD78A9BBFA}"/>
            </c:ext>
          </c:extLst>
        </c:ser>
        <c:dLbls>
          <c:showLegendKey val="0"/>
          <c:showVal val="0"/>
          <c:showCatName val="0"/>
          <c:showSerName val="0"/>
          <c:showPercent val="0"/>
          <c:showBubbleSize val="0"/>
        </c:dLbls>
        <c:axId val="167755136"/>
        <c:axId val="168339328"/>
      </c:scatterChart>
      <c:valAx>
        <c:axId val="167755136"/>
        <c:scaling>
          <c:orientation val="minMax"/>
          <c:max val="2017"/>
          <c:min val="2006"/>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AÑOS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168339328"/>
        <c:crosses val="autoZero"/>
        <c:crossBetween val="midCat"/>
        <c:majorUnit val="1"/>
      </c:valAx>
      <c:valAx>
        <c:axId val="168339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PRECIO</a:t>
                </a:r>
                <a:r>
                  <a:rPr lang="en-US" b="1" baseline="0"/>
                  <a:t>   [$us]</a:t>
                </a:r>
                <a:endParaRPr lang="en-US" b="1"/>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167755136"/>
        <c:crossesAt val="2006"/>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B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Hoja5!$B$39:$B$47</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Hoja5!$C$39:$C$47</c:f>
              <c:numCache>
                <c:formatCode>_-* #,##0_-;\-* #,##0_-;_-* "-"??_-;_-@_-</c:formatCode>
                <c:ptCount val="9"/>
                <c:pt idx="0">
                  <c:v>3883</c:v>
                </c:pt>
                <c:pt idx="1">
                  <c:v>4669</c:v>
                </c:pt>
                <c:pt idx="2">
                  <c:v>4003</c:v>
                </c:pt>
                <c:pt idx="3">
                  <c:v>5411</c:v>
                </c:pt>
                <c:pt idx="4">
                  <c:v>12111</c:v>
                </c:pt>
                <c:pt idx="5">
                  <c:v>15543</c:v>
                </c:pt>
                <c:pt idx="6">
                  <c:v>15602</c:v>
                </c:pt>
                <c:pt idx="7">
                  <c:v>12977</c:v>
                </c:pt>
                <c:pt idx="8">
                  <c:v>7395</c:v>
                </c:pt>
              </c:numCache>
            </c:numRef>
          </c:val>
          <c:extLst>
            <c:ext xmlns:c16="http://schemas.microsoft.com/office/drawing/2014/chart" uri="{C3380CC4-5D6E-409C-BE32-E72D297353CC}">
              <c16:uniqueId val="{00000000-29E8-4A4C-AC01-1C0293B30E3D}"/>
            </c:ext>
          </c:extLst>
        </c:ser>
        <c:dLbls>
          <c:dLblPos val="outEnd"/>
          <c:showLegendKey val="0"/>
          <c:showVal val="1"/>
          <c:showCatName val="0"/>
          <c:showSerName val="0"/>
          <c:showPercent val="0"/>
          <c:showBubbleSize val="0"/>
        </c:dLbls>
        <c:gapWidth val="100"/>
        <c:overlap val="-24"/>
        <c:axId val="168871040"/>
        <c:axId val="168878080"/>
      </c:barChart>
      <c:catAx>
        <c:axId val="1688710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168878080"/>
        <c:crosses val="autoZero"/>
        <c:auto val="1"/>
        <c:lblAlgn val="ctr"/>
        <c:lblOffset val="100"/>
        <c:noMultiLvlLbl val="0"/>
      </c:catAx>
      <c:valAx>
        <c:axId val="168878080"/>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168871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E6E-4248-A817-F06C0B28689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E6E-4248-A817-F06C0B28689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E6E-4248-A817-F06C0B28689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E6E-4248-A817-F06C0B28689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E6E-4248-A817-F06C0B28689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B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Hoja5!$B$24:$B$28</c:f>
              <c:strCache>
                <c:ptCount val="5"/>
                <c:pt idx="0">
                  <c:v>DON</c:v>
                </c:pt>
                <c:pt idx="1">
                  <c:v>TGN</c:v>
                </c:pt>
                <c:pt idx="2">
                  <c:v>CPTB</c:v>
                </c:pt>
                <c:pt idx="3">
                  <c:v>RPRO</c:v>
                </c:pt>
                <c:pt idx="4">
                  <c:v>IDH</c:v>
                </c:pt>
              </c:strCache>
            </c:strRef>
          </c:cat>
          <c:val>
            <c:numRef>
              <c:f>Hoja5!$C$24:$C$28</c:f>
              <c:numCache>
                <c:formatCode>0%</c:formatCode>
                <c:ptCount val="5"/>
                <c:pt idx="0">
                  <c:v>0.03</c:v>
                </c:pt>
                <c:pt idx="1">
                  <c:v>0.32</c:v>
                </c:pt>
                <c:pt idx="2">
                  <c:v>0.32</c:v>
                </c:pt>
                <c:pt idx="3">
                  <c:v>0.03</c:v>
                </c:pt>
                <c:pt idx="4">
                  <c:v>0.3</c:v>
                </c:pt>
              </c:numCache>
            </c:numRef>
          </c:val>
          <c:extLst>
            <c:ext xmlns:c16="http://schemas.microsoft.com/office/drawing/2014/chart" uri="{C3380CC4-5D6E-409C-BE32-E72D297353CC}">
              <c16:uniqueId val="{0000000A-CE6E-4248-A817-F06C0B28689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B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BO"/>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4C053-854D-4FB5-AA12-4F0783F7E47F}" type="doc">
      <dgm:prSet loTypeId="urn:microsoft.com/office/officeart/2005/8/layout/StepDownProcess" loCatId="process" qsTypeId="urn:microsoft.com/office/officeart/2005/8/quickstyle/simple5" qsCatId="simple" csTypeId="urn:microsoft.com/office/officeart/2005/8/colors/colorful1" csCatId="colorful" phldr="1"/>
      <dgm:spPr/>
      <dgm:t>
        <a:bodyPr/>
        <a:lstStyle/>
        <a:p>
          <a:endParaRPr lang="es-ES"/>
        </a:p>
      </dgm:t>
    </dgm:pt>
    <dgm:pt modelId="{1792C7EE-E499-47D6-94EC-509CFC1A3323}">
      <dgm:prSet phldrT="[Texto]" custT="1"/>
      <dgm:spPr/>
      <dgm:t>
        <a:bodyPr/>
        <a:lstStyle/>
        <a:p>
          <a:pPr algn="ctr"/>
          <a:r>
            <a:rPr lang="es-ES" sz="1200" b="1"/>
            <a:t>Procesabilidad</a:t>
          </a:r>
        </a:p>
        <a:p>
          <a:pPr algn="ctr"/>
          <a:r>
            <a:rPr lang="es-ES" sz="1000"/>
            <a:t>(Condiciones básicas)</a:t>
          </a:r>
        </a:p>
      </dgm:t>
    </dgm:pt>
    <dgm:pt modelId="{AB1F5460-F117-4A7F-8FFD-5282167DA58C}" type="parTrans" cxnId="{A13C2DEE-5E0D-4DCC-8E89-490CC2D537A3}">
      <dgm:prSet/>
      <dgm:spPr/>
      <dgm:t>
        <a:bodyPr/>
        <a:lstStyle/>
        <a:p>
          <a:pPr algn="ctr"/>
          <a:endParaRPr lang="es-ES"/>
        </a:p>
      </dgm:t>
    </dgm:pt>
    <dgm:pt modelId="{D87D1DE2-DECA-4979-8D84-861B43978FB3}" type="sibTrans" cxnId="{A13C2DEE-5E0D-4DCC-8E89-490CC2D537A3}">
      <dgm:prSet/>
      <dgm:spPr/>
      <dgm:t>
        <a:bodyPr/>
        <a:lstStyle/>
        <a:p>
          <a:pPr algn="ctr"/>
          <a:endParaRPr lang="es-ES"/>
        </a:p>
      </dgm:t>
    </dgm:pt>
    <dgm:pt modelId="{E9A084F3-9FC4-4E77-8CC5-CE3103ECDC53}">
      <dgm:prSet phldrT="[Texto]" custT="1"/>
      <dgm:spPr/>
      <dgm:t>
        <a:bodyPr/>
        <a:lstStyle/>
        <a:p>
          <a:pPr algn="ctr"/>
          <a:r>
            <a:rPr lang="es-ES" sz="1300" b="1"/>
            <a:t>Admisibilidad</a:t>
          </a:r>
        </a:p>
        <a:p>
          <a:pPr algn="ctr"/>
          <a:r>
            <a:rPr lang="es-ES" sz="1000"/>
            <a:t>(Verificación de requisitos formales)</a:t>
          </a:r>
        </a:p>
      </dgm:t>
    </dgm:pt>
    <dgm:pt modelId="{700878B2-26C1-4EE1-A06B-CF09E43A83A8}" type="parTrans" cxnId="{C34F35CD-1E36-4E3D-9376-20DA819E8B7E}">
      <dgm:prSet/>
      <dgm:spPr/>
      <dgm:t>
        <a:bodyPr/>
        <a:lstStyle/>
        <a:p>
          <a:pPr algn="ctr"/>
          <a:endParaRPr lang="es-ES"/>
        </a:p>
      </dgm:t>
    </dgm:pt>
    <dgm:pt modelId="{BBC4BB57-14ED-4879-B7D7-0B38045FADC5}" type="sibTrans" cxnId="{C34F35CD-1E36-4E3D-9376-20DA819E8B7E}">
      <dgm:prSet/>
      <dgm:spPr/>
      <dgm:t>
        <a:bodyPr/>
        <a:lstStyle/>
        <a:p>
          <a:pPr algn="ctr"/>
          <a:endParaRPr lang="es-ES"/>
        </a:p>
      </dgm:t>
    </dgm:pt>
    <dgm:pt modelId="{A37E9363-F58B-43CF-93BD-417F128AEEB0}">
      <dgm:prSet phldrT="[Texto]" custT="1"/>
      <dgm:spPr/>
      <dgm:t>
        <a:bodyPr/>
        <a:lstStyle/>
        <a:p>
          <a:pPr algn="ctr"/>
          <a:r>
            <a:rPr lang="es-ES" sz="1300" b="1"/>
            <a:t>Acreditación Curricular</a:t>
          </a:r>
        </a:p>
        <a:p>
          <a:pPr algn="ctr"/>
          <a:r>
            <a:rPr lang="es-ES" sz="1000"/>
            <a:t>(La Unidad soliicitante esté registrado)</a:t>
          </a:r>
        </a:p>
      </dgm:t>
    </dgm:pt>
    <dgm:pt modelId="{E99EC91E-B643-45F6-BDDB-853965E6FC2D}" type="parTrans" cxnId="{9368D564-3FAC-44B2-9236-883AEFC8F870}">
      <dgm:prSet/>
      <dgm:spPr/>
      <dgm:t>
        <a:bodyPr/>
        <a:lstStyle/>
        <a:p>
          <a:pPr algn="ctr"/>
          <a:endParaRPr lang="es-ES"/>
        </a:p>
      </dgm:t>
    </dgm:pt>
    <dgm:pt modelId="{17502FA7-3E06-4ABB-ABCA-2B50198B57D3}" type="sibTrans" cxnId="{9368D564-3FAC-44B2-9236-883AEFC8F870}">
      <dgm:prSet/>
      <dgm:spPr/>
      <dgm:t>
        <a:bodyPr/>
        <a:lstStyle/>
        <a:p>
          <a:pPr algn="ctr"/>
          <a:endParaRPr lang="es-ES"/>
        </a:p>
      </dgm:t>
    </dgm:pt>
    <dgm:pt modelId="{8EDEEF9B-81F7-4F17-B96B-204117D4CB90}">
      <dgm:prSet phldrT="[Texto]" custT="1"/>
      <dgm:spPr/>
      <dgm:t>
        <a:bodyPr/>
        <a:lstStyle/>
        <a:p>
          <a:pPr algn="ctr"/>
          <a:r>
            <a:rPr lang="es-ES" sz="1200" b="1"/>
            <a:t>Evaluación de Pares</a:t>
          </a:r>
        </a:p>
        <a:p>
          <a:pPr algn="ctr"/>
          <a:r>
            <a:rPr lang="es-ES" sz="1000"/>
            <a:t>(calidad cintífico-tecnológico)</a:t>
          </a:r>
        </a:p>
      </dgm:t>
    </dgm:pt>
    <dgm:pt modelId="{4EE789F4-9778-4154-A150-7110A5FA511A}" type="parTrans" cxnId="{9DD435BB-2923-41C5-B592-47DA0D1C2BC6}">
      <dgm:prSet/>
      <dgm:spPr/>
      <dgm:t>
        <a:bodyPr/>
        <a:lstStyle/>
        <a:p>
          <a:pPr algn="ctr"/>
          <a:endParaRPr lang="es-ES"/>
        </a:p>
      </dgm:t>
    </dgm:pt>
    <dgm:pt modelId="{A32098D7-1AE5-4645-BD08-EE5718EF0A02}" type="sibTrans" cxnId="{9DD435BB-2923-41C5-B592-47DA0D1C2BC6}">
      <dgm:prSet/>
      <dgm:spPr/>
      <dgm:t>
        <a:bodyPr/>
        <a:lstStyle/>
        <a:p>
          <a:pPr algn="ctr"/>
          <a:endParaRPr lang="es-ES"/>
        </a:p>
      </dgm:t>
    </dgm:pt>
    <dgm:pt modelId="{69E4B20C-5034-4D59-BB5F-ADE0B4ACF8CB}">
      <dgm:prSet phldrT="[Texto]" custT="1"/>
      <dgm:spPr/>
      <dgm:t>
        <a:bodyPr/>
        <a:lstStyle/>
        <a:p>
          <a:pPr algn="ctr"/>
          <a:r>
            <a:rPr lang="es-ES" sz="1300" b="1"/>
            <a:t>Comisión de Revisión</a:t>
          </a:r>
        </a:p>
        <a:p>
          <a:pPr algn="ctr"/>
          <a:r>
            <a:rPr lang="es-ES" sz="1000"/>
            <a:t>(Pertinencia + Informe final)</a:t>
          </a:r>
        </a:p>
      </dgm:t>
    </dgm:pt>
    <dgm:pt modelId="{585F6D22-5B7A-46E9-8769-302B051845B4}" type="parTrans" cxnId="{791FC9FC-4471-40D3-847A-E2B585E610B6}">
      <dgm:prSet/>
      <dgm:spPr/>
      <dgm:t>
        <a:bodyPr/>
        <a:lstStyle/>
        <a:p>
          <a:pPr algn="ctr"/>
          <a:endParaRPr lang="es-ES"/>
        </a:p>
      </dgm:t>
    </dgm:pt>
    <dgm:pt modelId="{D6BF4CAF-452F-4480-9C8E-28234065C906}" type="sibTrans" cxnId="{791FC9FC-4471-40D3-847A-E2B585E610B6}">
      <dgm:prSet/>
      <dgm:spPr/>
      <dgm:t>
        <a:bodyPr/>
        <a:lstStyle/>
        <a:p>
          <a:pPr algn="ctr"/>
          <a:endParaRPr lang="es-ES"/>
        </a:p>
      </dgm:t>
    </dgm:pt>
    <dgm:pt modelId="{A7202346-9CD6-4B45-A4F2-4E0665DD450A}">
      <dgm:prSet phldrT="[Texto]" custT="1"/>
      <dgm:spPr/>
      <dgm:t>
        <a:bodyPr/>
        <a:lstStyle/>
        <a:p>
          <a:pPr algn="ctr"/>
          <a:r>
            <a:rPr lang="es-ES" sz="1300" b="1"/>
            <a:t>Resolución de Comisión</a:t>
          </a:r>
        </a:p>
      </dgm:t>
    </dgm:pt>
    <dgm:pt modelId="{08A1A153-C699-4309-9F04-D2C21FB5621A}" type="parTrans" cxnId="{DE139D09-FE77-454F-A6DB-D989B1C08F6F}">
      <dgm:prSet/>
      <dgm:spPr/>
      <dgm:t>
        <a:bodyPr/>
        <a:lstStyle/>
        <a:p>
          <a:pPr algn="ctr"/>
          <a:endParaRPr lang="es-ES"/>
        </a:p>
      </dgm:t>
    </dgm:pt>
    <dgm:pt modelId="{C748C2B5-1041-498D-86F4-AEF8489BA9AD}" type="sibTrans" cxnId="{DE139D09-FE77-454F-A6DB-D989B1C08F6F}">
      <dgm:prSet/>
      <dgm:spPr/>
      <dgm:t>
        <a:bodyPr/>
        <a:lstStyle/>
        <a:p>
          <a:pPr algn="ctr"/>
          <a:endParaRPr lang="es-ES"/>
        </a:p>
      </dgm:t>
    </dgm:pt>
    <dgm:pt modelId="{2912DDD0-9DCA-4335-A037-E95CF7AFDC2E}" type="pres">
      <dgm:prSet presAssocID="{FD14C053-854D-4FB5-AA12-4F0783F7E47F}" presName="rootnode" presStyleCnt="0">
        <dgm:presLayoutVars>
          <dgm:chMax/>
          <dgm:chPref/>
          <dgm:dir/>
          <dgm:animLvl val="lvl"/>
        </dgm:presLayoutVars>
      </dgm:prSet>
      <dgm:spPr/>
    </dgm:pt>
    <dgm:pt modelId="{6F069378-1652-49F9-BDBC-36FA8441309A}" type="pres">
      <dgm:prSet presAssocID="{1792C7EE-E499-47D6-94EC-509CFC1A3323}" presName="composite" presStyleCnt="0"/>
      <dgm:spPr/>
    </dgm:pt>
    <dgm:pt modelId="{D51F6323-8329-4EE2-8D6E-CF5167906898}" type="pres">
      <dgm:prSet presAssocID="{1792C7EE-E499-47D6-94EC-509CFC1A3323}" presName="bentUpArrow1" presStyleLbl="alignImgPlace1" presStyleIdx="0" presStyleCnt="5"/>
      <dgm:spPr/>
    </dgm:pt>
    <dgm:pt modelId="{13DBFB98-A90D-46DA-98A7-F2219D97876A}" type="pres">
      <dgm:prSet presAssocID="{1792C7EE-E499-47D6-94EC-509CFC1A3323}" presName="ParentText" presStyleLbl="node1" presStyleIdx="0" presStyleCnt="6" custScaleX="151070">
        <dgm:presLayoutVars>
          <dgm:chMax val="1"/>
          <dgm:chPref val="1"/>
          <dgm:bulletEnabled val="1"/>
        </dgm:presLayoutVars>
      </dgm:prSet>
      <dgm:spPr/>
    </dgm:pt>
    <dgm:pt modelId="{8948413A-779C-4884-9484-A695BC5EBE07}" type="pres">
      <dgm:prSet presAssocID="{1792C7EE-E499-47D6-94EC-509CFC1A3323}" presName="ChildText" presStyleLbl="revTx" presStyleIdx="0" presStyleCnt="5">
        <dgm:presLayoutVars>
          <dgm:chMax val="0"/>
          <dgm:chPref val="0"/>
          <dgm:bulletEnabled val="1"/>
        </dgm:presLayoutVars>
      </dgm:prSet>
      <dgm:spPr/>
    </dgm:pt>
    <dgm:pt modelId="{45437836-1CDC-49DD-8E1E-8A0848847599}" type="pres">
      <dgm:prSet presAssocID="{D87D1DE2-DECA-4979-8D84-861B43978FB3}" presName="sibTrans" presStyleCnt="0"/>
      <dgm:spPr/>
    </dgm:pt>
    <dgm:pt modelId="{948DA86B-910B-46B8-8456-7AB9625E1457}" type="pres">
      <dgm:prSet presAssocID="{E9A084F3-9FC4-4E77-8CC5-CE3103ECDC53}" presName="composite" presStyleCnt="0"/>
      <dgm:spPr/>
    </dgm:pt>
    <dgm:pt modelId="{8BBD3B31-E921-4661-9711-D0BF7BC3BD38}" type="pres">
      <dgm:prSet presAssocID="{E9A084F3-9FC4-4E77-8CC5-CE3103ECDC53}" presName="bentUpArrow1" presStyleLbl="alignImgPlace1" presStyleIdx="1" presStyleCnt="5"/>
      <dgm:spPr/>
    </dgm:pt>
    <dgm:pt modelId="{F70AA137-0B63-4501-B539-79D87FFEA21B}" type="pres">
      <dgm:prSet presAssocID="{E9A084F3-9FC4-4E77-8CC5-CE3103ECDC53}" presName="ParentText" presStyleLbl="node1" presStyleIdx="1" presStyleCnt="6" custScaleX="151070" custLinFactNeighborX="-2048" custLinFactNeighborY="-2926">
        <dgm:presLayoutVars>
          <dgm:chMax val="1"/>
          <dgm:chPref val="1"/>
          <dgm:bulletEnabled val="1"/>
        </dgm:presLayoutVars>
      </dgm:prSet>
      <dgm:spPr/>
    </dgm:pt>
    <dgm:pt modelId="{79182E7A-F368-4D97-B080-08430056E82C}" type="pres">
      <dgm:prSet presAssocID="{E9A084F3-9FC4-4E77-8CC5-CE3103ECDC53}" presName="ChildText" presStyleLbl="revTx" presStyleIdx="1" presStyleCnt="5">
        <dgm:presLayoutVars>
          <dgm:chMax val="0"/>
          <dgm:chPref val="0"/>
          <dgm:bulletEnabled val="1"/>
        </dgm:presLayoutVars>
      </dgm:prSet>
      <dgm:spPr/>
    </dgm:pt>
    <dgm:pt modelId="{45C5B5F2-177D-4E0C-BC72-9439033AA25E}" type="pres">
      <dgm:prSet presAssocID="{BBC4BB57-14ED-4879-B7D7-0B38045FADC5}" presName="sibTrans" presStyleCnt="0"/>
      <dgm:spPr/>
    </dgm:pt>
    <dgm:pt modelId="{617A82E7-9D56-4BDC-9430-8BFDCDFF7D52}" type="pres">
      <dgm:prSet presAssocID="{A37E9363-F58B-43CF-93BD-417F128AEEB0}" presName="composite" presStyleCnt="0"/>
      <dgm:spPr/>
    </dgm:pt>
    <dgm:pt modelId="{881FB30E-49C7-4A01-B0E6-4D950B389BAA}" type="pres">
      <dgm:prSet presAssocID="{A37E9363-F58B-43CF-93BD-417F128AEEB0}" presName="bentUpArrow1" presStyleLbl="alignImgPlace1" presStyleIdx="2" presStyleCnt="5"/>
      <dgm:spPr/>
    </dgm:pt>
    <dgm:pt modelId="{4EDC7DB8-81D5-4227-BD69-BFC788A94B32}" type="pres">
      <dgm:prSet presAssocID="{A37E9363-F58B-43CF-93BD-417F128AEEB0}" presName="ParentText" presStyleLbl="node1" presStyleIdx="2" presStyleCnt="6" custScaleX="208832" custLinFactNeighborX="-3072" custLinFactNeighborY="-5852">
        <dgm:presLayoutVars>
          <dgm:chMax val="1"/>
          <dgm:chPref val="1"/>
          <dgm:bulletEnabled val="1"/>
        </dgm:presLayoutVars>
      </dgm:prSet>
      <dgm:spPr/>
    </dgm:pt>
    <dgm:pt modelId="{5D97B6C7-7198-4785-AF77-936E057456A7}" type="pres">
      <dgm:prSet presAssocID="{A37E9363-F58B-43CF-93BD-417F128AEEB0}" presName="ChildText" presStyleLbl="revTx" presStyleIdx="2" presStyleCnt="5">
        <dgm:presLayoutVars>
          <dgm:chMax val="0"/>
          <dgm:chPref val="0"/>
          <dgm:bulletEnabled val="1"/>
        </dgm:presLayoutVars>
      </dgm:prSet>
      <dgm:spPr/>
    </dgm:pt>
    <dgm:pt modelId="{05681080-5E57-41D9-94AD-C5788D1C1F83}" type="pres">
      <dgm:prSet presAssocID="{17502FA7-3E06-4ABB-ABCA-2B50198B57D3}" presName="sibTrans" presStyleCnt="0"/>
      <dgm:spPr/>
    </dgm:pt>
    <dgm:pt modelId="{8A82FA70-22FC-4633-B8C0-C6F331BFE4C1}" type="pres">
      <dgm:prSet presAssocID="{8EDEEF9B-81F7-4F17-B96B-204117D4CB90}" presName="composite" presStyleCnt="0"/>
      <dgm:spPr/>
    </dgm:pt>
    <dgm:pt modelId="{4F145308-FA53-484D-894F-D7F72EF3C332}" type="pres">
      <dgm:prSet presAssocID="{8EDEEF9B-81F7-4F17-B96B-204117D4CB90}" presName="bentUpArrow1" presStyleLbl="alignImgPlace1" presStyleIdx="3" presStyleCnt="5"/>
      <dgm:spPr/>
    </dgm:pt>
    <dgm:pt modelId="{40231BD3-CFBF-4D8D-9A34-728E0E357C5B}" type="pres">
      <dgm:prSet presAssocID="{8EDEEF9B-81F7-4F17-B96B-204117D4CB90}" presName="ParentText" presStyleLbl="node1" presStyleIdx="3" presStyleCnt="6" custScaleX="178243" custLinFactNeighborX="28672" custLinFactNeighborY="-1463">
        <dgm:presLayoutVars>
          <dgm:chMax val="1"/>
          <dgm:chPref val="1"/>
          <dgm:bulletEnabled val="1"/>
        </dgm:presLayoutVars>
      </dgm:prSet>
      <dgm:spPr/>
    </dgm:pt>
    <dgm:pt modelId="{88ACEE98-ED86-449C-825C-BF00FC8632F2}" type="pres">
      <dgm:prSet presAssocID="{8EDEEF9B-81F7-4F17-B96B-204117D4CB90}" presName="ChildText" presStyleLbl="revTx" presStyleIdx="3" presStyleCnt="5">
        <dgm:presLayoutVars>
          <dgm:chMax val="0"/>
          <dgm:chPref val="0"/>
          <dgm:bulletEnabled val="1"/>
        </dgm:presLayoutVars>
      </dgm:prSet>
      <dgm:spPr/>
    </dgm:pt>
    <dgm:pt modelId="{A95D773D-09BE-4733-9484-63B4F3259447}" type="pres">
      <dgm:prSet presAssocID="{A32098D7-1AE5-4645-BD08-EE5718EF0A02}" presName="sibTrans" presStyleCnt="0"/>
      <dgm:spPr/>
    </dgm:pt>
    <dgm:pt modelId="{9D1AA91C-F55A-424D-A3A7-5E0FEB9EAD9F}" type="pres">
      <dgm:prSet presAssocID="{69E4B20C-5034-4D59-BB5F-ADE0B4ACF8CB}" presName="composite" presStyleCnt="0"/>
      <dgm:spPr/>
    </dgm:pt>
    <dgm:pt modelId="{F58D68FE-E623-4C44-8049-9D0B2301B604}" type="pres">
      <dgm:prSet presAssocID="{69E4B20C-5034-4D59-BB5F-ADE0B4ACF8CB}" presName="bentUpArrow1" presStyleLbl="alignImgPlace1" presStyleIdx="4" presStyleCnt="5"/>
      <dgm:spPr/>
    </dgm:pt>
    <dgm:pt modelId="{6EA16926-FA54-46CB-A44D-C153391F3CBD}" type="pres">
      <dgm:prSet presAssocID="{69E4B20C-5034-4D59-BB5F-ADE0B4ACF8CB}" presName="ParentText" presStyleLbl="node1" presStyleIdx="4" presStyleCnt="6" custScaleX="176326" custLinFactNeighborX="11264">
        <dgm:presLayoutVars>
          <dgm:chMax val="1"/>
          <dgm:chPref val="1"/>
          <dgm:bulletEnabled val="1"/>
        </dgm:presLayoutVars>
      </dgm:prSet>
      <dgm:spPr/>
    </dgm:pt>
    <dgm:pt modelId="{A5458E26-AE17-402B-B85C-AF7ED9D04093}" type="pres">
      <dgm:prSet presAssocID="{69E4B20C-5034-4D59-BB5F-ADE0B4ACF8CB}" presName="ChildText" presStyleLbl="revTx" presStyleIdx="4" presStyleCnt="5">
        <dgm:presLayoutVars>
          <dgm:chMax val="0"/>
          <dgm:chPref val="0"/>
          <dgm:bulletEnabled val="1"/>
        </dgm:presLayoutVars>
      </dgm:prSet>
      <dgm:spPr/>
    </dgm:pt>
    <dgm:pt modelId="{C0F51734-7AEB-47EC-A3D7-5FFDE3D1002F}" type="pres">
      <dgm:prSet presAssocID="{D6BF4CAF-452F-4480-9C8E-28234065C906}" presName="sibTrans" presStyleCnt="0"/>
      <dgm:spPr/>
    </dgm:pt>
    <dgm:pt modelId="{23BB76EF-E3DD-4AC7-8803-2960C0A36353}" type="pres">
      <dgm:prSet presAssocID="{A7202346-9CD6-4B45-A4F2-4E0665DD450A}" presName="composite" presStyleCnt="0"/>
      <dgm:spPr/>
    </dgm:pt>
    <dgm:pt modelId="{217DC5E1-132B-4642-B6E1-17C2E9D66B3C}" type="pres">
      <dgm:prSet presAssocID="{A7202346-9CD6-4B45-A4F2-4E0665DD450A}" presName="ParentText" presStyleLbl="node1" presStyleIdx="5" presStyleCnt="6" custScaleX="151070">
        <dgm:presLayoutVars>
          <dgm:chMax val="1"/>
          <dgm:chPref val="1"/>
          <dgm:bulletEnabled val="1"/>
        </dgm:presLayoutVars>
      </dgm:prSet>
      <dgm:spPr/>
    </dgm:pt>
  </dgm:ptLst>
  <dgm:cxnLst>
    <dgm:cxn modelId="{7F468300-7A26-4A94-A509-7DC031445C69}" type="presOf" srcId="{E9A084F3-9FC4-4E77-8CC5-CE3103ECDC53}" destId="{F70AA137-0B63-4501-B539-79D87FFEA21B}" srcOrd="0" destOrd="0" presId="urn:microsoft.com/office/officeart/2005/8/layout/StepDownProcess"/>
    <dgm:cxn modelId="{1682CC01-65D2-41B5-9C9F-A8BFE8818358}" type="presOf" srcId="{8EDEEF9B-81F7-4F17-B96B-204117D4CB90}" destId="{40231BD3-CFBF-4D8D-9A34-728E0E357C5B}" srcOrd="0" destOrd="0" presId="urn:microsoft.com/office/officeart/2005/8/layout/StepDownProcess"/>
    <dgm:cxn modelId="{DE139D09-FE77-454F-A6DB-D989B1C08F6F}" srcId="{FD14C053-854D-4FB5-AA12-4F0783F7E47F}" destId="{A7202346-9CD6-4B45-A4F2-4E0665DD450A}" srcOrd="5" destOrd="0" parTransId="{08A1A153-C699-4309-9F04-D2C21FB5621A}" sibTransId="{C748C2B5-1041-498D-86F4-AEF8489BA9AD}"/>
    <dgm:cxn modelId="{D799E731-6333-4CD4-8AD8-CBC5B5D5ED5A}" type="presOf" srcId="{1792C7EE-E499-47D6-94EC-509CFC1A3323}" destId="{13DBFB98-A90D-46DA-98A7-F2219D97876A}" srcOrd="0" destOrd="0" presId="urn:microsoft.com/office/officeart/2005/8/layout/StepDownProcess"/>
    <dgm:cxn modelId="{AD6DD142-BC9C-441D-B129-D215397FB796}" type="presOf" srcId="{69E4B20C-5034-4D59-BB5F-ADE0B4ACF8CB}" destId="{6EA16926-FA54-46CB-A44D-C153391F3CBD}" srcOrd="0" destOrd="0" presId="urn:microsoft.com/office/officeart/2005/8/layout/StepDownProcess"/>
    <dgm:cxn modelId="{B2D7C248-7D5F-4BD7-A094-9C0EAAE297B3}" type="presOf" srcId="{FD14C053-854D-4FB5-AA12-4F0783F7E47F}" destId="{2912DDD0-9DCA-4335-A037-E95CF7AFDC2E}" srcOrd="0" destOrd="0" presId="urn:microsoft.com/office/officeart/2005/8/layout/StepDownProcess"/>
    <dgm:cxn modelId="{750CA95E-8F08-458C-B4C6-52DD8D043DC3}" type="presOf" srcId="{A37E9363-F58B-43CF-93BD-417F128AEEB0}" destId="{4EDC7DB8-81D5-4227-BD69-BFC788A94B32}" srcOrd="0" destOrd="0" presId="urn:microsoft.com/office/officeart/2005/8/layout/StepDownProcess"/>
    <dgm:cxn modelId="{9368D564-3FAC-44B2-9236-883AEFC8F870}" srcId="{FD14C053-854D-4FB5-AA12-4F0783F7E47F}" destId="{A37E9363-F58B-43CF-93BD-417F128AEEB0}" srcOrd="2" destOrd="0" parTransId="{E99EC91E-B643-45F6-BDDB-853965E6FC2D}" sibTransId="{17502FA7-3E06-4ABB-ABCA-2B50198B57D3}"/>
    <dgm:cxn modelId="{9DD435BB-2923-41C5-B592-47DA0D1C2BC6}" srcId="{FD14C053-854D-4FB5-AA12-4F0783F7E47F}" destId="{8EDEEF9B-81F7-4F17-B96B-204117D4CB90}" srcOrd="3" destOrd="0" parTransId="{4EE789F4-9778-4154-A150-7110A5FA511A}" sibTransId="{A32098D7-1AE5-4645-BD08-EE5718EF0A02}"/>
    <dgm:cxn modelId="{C34F35CD-1E36-4E3D-9376-20DA819E8B7E}" srcId="{FD14C053-854D-4FB5-AA12-4F0783F7E47F}" destId="{E9A084F3-9FC4-4E77-8CC5-CE3103ECDC53}" srcOrd="1" destOrd="0" parTransId="{700878B2-26C1-4EE1-A06B-CF09E43A83A8}" sibTransId="{BBC4BB57-14ED-4879-B7D7-0B38045FADC5}"/>
    <dgm:cxn modelId="{00F631D1-6279-40BA-B2EA-1A93E9B11E58}" type="presOf" srcId="{A7202346-9CD6-4B45-A4F2-4E0665DD450A}" destId="{217DC5E1-132B-4642-B6E1-17C2E9D66B3C}" srcOrd="0" destOrd="0" presId="urn:microsoft.com/office/officeart/2005/8/layout/StepDownProcess"/>
    <dgm:cxn modelId="{A13C2DEE-5E0D-4DCC-8E89-490CC2D537A3}" srcId="{FD14C053-854D-4FB5-AA12-4F0783F7E47F}" destId="{1792C7EE-E499-47D6-94EC-509CFC1A3323}" srcOrd="0" destOrd="0" parTransId="{AB1F5460-F117-4A7F-8FFD-5282167DA58C}" sibTransId="{D87D1DE2-DECA-4979-8D84-861B43978FB3}"/>
    <dgm:cxn modelId="{791FC9FC-4471-40D3-847A-E2B585E610B6}" srcId="{FD14C053-854D-4FB5-AA12-4F0783F7E47F}" destId="{69E4B20C-5034-4D59-BB5F-ADE0B4ACF8CB}" srcOrd="4" destOrd="0" parTransId="{585F6D22-5B7A-46E9-8769-302B051845B4}" sibTransId="{D6BF4CAF-452F-4480-9C8E-28234065C906}"/>
    <dgm:cxn modelId="{DF8B7C5D-10E4-4ED2-8A2F-502077820AF0}" type="presParOf" srcId="{2912DDD0-9DCA-4335-A037-E95CF7AFDC2E}" destId="{6F069378-1652-49F9-BDBC-36FA8441309A}" srcOrd="0" destOrd="0" presId="urn:microsoft.com/office/officeart/2005/8/layout/StepDownProcess"/>
    <dgm:cxn modelId="{D1E630DC-BFB8-4538-A340-9A67B9C992D5}" type="presParOf" srcId="{6F069378-1652-49F9-BDBC-36FA8441309A}" destId="{D51F6323-8329-4EE2-8D6E-CF5167906898}" srcOrd="0" destOrd="0" presId="urn:microsoft.com/office/officeart/2005/8/layout/StepDownProcess"/>
    <dgm:cxn modelId="{C252A532-4172-4C60-A1FB-5CF23F2B3080}" type="presParOf" srcId="{6F069378-1652-49F9-BDBC-36FA8441309A}" destId="{13DBFB98-A90D-46DA-98A7-F2219D97876A}" srcOrd="1" destOrd="0" presId="urn:microsoft.com/office/officeart/2005/8/layout/StepDownProcess"/>
    <dgm:cxn modelId="{362B1842-BF8E-4688-92BF-DA494D393F22}" type="presParOf" srcId="{6F069378-1652-49F9-BDBC-36FA8441309A}" destId="{8948413A-779C-4884-9484-A695BC5EBE07}" srcOrd="2" destOrd="0" presId="urn:microsoft.com/office/officeart/2005/8/layout/StepDownProcess"/>
    <dgm:cxn modelId="{210890C5-EA03-4B3E-95DF-B88E96F81620}" type="presParOf" srcId="{2912DDD0-9DCA-4335-A037-E95CF7AFDC2E}" destId="{45437836-1CDC-49DD-8E1E-8A0848847599}" srcOrd="1" destOrd="0" presId="urn:microsoft.com/office/officeart/2005/8/layout/StepDownProcess"/>
    <dgm:cxn modelId="{1A12E4C1-3CBA-415E-9C67-626BCB1C127B}" type="presParOf" srcId="{2912DDD0-9DCA-4335-A037-E95CF7AFDC2E}" destId="{948DA86B-910B-46B8-8456-7AB9625E1457}" srcOrd="2" destOrd="0" presId="urn:microsoft.com/office/officeart/2005/8/layout/StepDownProcess"/>
    <dgm:cxn modelId="{1CBE8161-7A2F-406D-9AD5-8DFC8A670B4D}" type="presParOf" srcId="{948DA86B-910B-46B8-8456-7AB9625E1457}" destId="{8BBD3B31-E921-4661-9711-D0BF7BC3BD38}" srcOrd="0" destOrd="0" presId="urn:microsoft.com/office/officeart/2005/8/layout/StepDownProcess"/>
    <dgm:cxn modelId="{F7637F72-A40A-4D8B-AD5F-AF0B3E6AD000}" type="presParOf" srcId="{948DA86B-910B-46B8-8456-7AB9625E1457}" destId="{F70AA137-0B63-4501-B539-79D87FFEA21B}" srcOrd="1" destOrd="0" presId="urn:microsoft.com/office/officeart/2005/8/layout/StepDownProcess"/>
    <dgm:cxn modelId="{E2FD6D5B-301F-48C2-B074-18A9E6569A1A}" type="presParOf" srcId="{948DA86B-910B-46B8-8456-7AB9625E1457}" destId="{79182E7A-F368-4D97-B080-08430056E82C}" srcOrd="2" destOrd="0" presId="urn:microsoft.com/office/officeart/2005/8/layout/StepDownProcess"/>
    <dgm:cxn modelId="{139FCC8A-F403-4C77-A4E1-37F1E99424E5}" type="presParOf" srcId="{2912DDD0-9DCA-4335-A037-E95CF7AFDC2E}" destId="{45C5B5F2-177D-4E0C-BC72-9439033AA25E}" srcOrd="3" destOrd="0" presId="urn:microsoft.com/office/officeart/2005/8/layout/StepDownProcess"/>
    <dgm:cxn modelId="{003E7061-B285-4B5D-9C49-E436232DA368}" type="presParOf" srcId="{2912DDD0-9DCA-4335-A037-E95CF7AFDC2E}" destId="{617A82E7-9D56-4BDC-9430-8BFDCDFF7D52}" srcOrd="4" destOrd="0" presId="urn:microsoft.com/office/officeart/2005/8/layout/StepDownProcess"/>
    <dgm:cxn modelId="{97EEA685-5741-4954-98E3-163BB6E5966A}" type="presParOf" srcId="{617A82E7-9D56-4BDC-9430-8BFDCDFF7D52}" destId="{881FB30E-49C7-4A01-B0E6-4D950B389BAA}" srcOrd="0" destOrd="0" presId="urn:microsoft.com/office/officeart/2005/8/layout/StepDownProcess"/>
    <dgm:cxn modelId="{1B5B041C-B102-495D-97B2-A308B55FFE89}" type="presParOf" srcId="{617A82E7-9D56-4BDC-9430-8BFDCDFF7D52}" destId="{4EDC7DB8-81D5-4227-BD69-BFC788A94B32}" srcOrd="1" destOrd="0" presId="urn:microsoft.com/office/officeart/2005/8/layout/StepDownProcess"/>
    <dgm:cxn modelId="{96D74C95-52B8-4B00-81C0-038E6A165398}" type="presParOf" srcId="{617A82E7-9D56-4BDC-9430-8BFDCDFF7D52}" destId="{5D97B6C7-7198-4785-AF77-936E057456A7}" srcOrd="2" destOrd="0" presId="urn:microsoft.com/office/officeart/2005/8/layout/StepDownProcess"/>
    <dgm:cxn modelId="{3A55CD85-6F38-44D2-8420-98B5B6538345}" type="presParOf" srcId="{2912DDD0-9DCA-4335-A037-E95CF7AFDC2E}" destId="{05681080-5E57-41D9-94AD-C5788D1C1F83}" srcOrd="5" destOrd="0" presId="urn:microsoft.com/office/officeart/2005/8/layout/StepDownProcess"/>
    <dgm:cxn modelId="{0B728187-82E4-4AF5-B723-1445154D9BBE}" type="presParOf" srcId="{2912DDD0-9DCA-4335-A037-E95CF7AFDC2E}" destId="{8A82FA70-22FC-4633-B8C0-C6F331BFE4C1}" srcOrd="6" destOrd="0" presId="urn:microsoft.com/office/officeart/2005/8/layout/StepDownProcess"/>
    <dgm:cxn modelId="{78D3FC69-DA4D-45A1-A25C-9270C83D4DCC}" type="presParOf" srcId="{8A82FA70-22FC-4633-B8C0-C6F331BFE4C1}" destId="{4F145308-FA53-484D-894F-D7F72EF3C332}" srcOrd="0" destOrd="0" presId="urn:microsoft.com/office/officeart/2005/8/layout/StepDownProcess"/>
    <dgm:cxn modelId="{BABF8D3F-C445-4793-9933-499D084EDA8B}" type="presParOf" srcId="{8A82FA70-22FC-4633-B8C0-C6F331BFE4C1}" destId="{40231BD3-CFBF-4D8D-9A34-728E0E357C5B}" srcOrd="1" destOrd="0" presId="urn:microsoft.com/office/officeart/2005/8/layout/StepDownProcess"/>
    <dgm:cxn modelId="{0701FADF-39E5-4716-A96C-032FFE15A3A0}" type="presParOf" srcId="{8A82FA70-22FC-4633-B8C0-C6F331BFE4C1}" destId="{88ACEE98-ED86-449C-825C-BF00FC8632F2}" srcOrd="2" destOrd="0" presId="urn:microsoft.com/office/officeart/2005/8/layout/StepDownProcess"/>
    <dgm:cxn modelId="{5C948543-99B1-46A7-89CD-693B6EB3C148}" type="presParOf" srcId="{2912DDD0-9DCA-4335-A037-E95CF7AFDC2E}" destId="{A95D773D-09BE-4733-9484-63B4F3259447}" srcOrd="7" destOrd="0" presId="urn:microsoft.com/office/officeart/2005/8/layout/StepDownProcess"/>
    <dgm:cxn modelId="{775927A3-3D37-4C0E-ACE0-2AADECBB08FA}" type="presParOf" srcId="{2912DDD0-9DCA-4335-A037-E95CF7AFDC2E}" destId="{9D1AA91C-F55A-424D-A3A7-5E0FEB9EAD9F}" srcOrd="8" destOrd="0" presId="urn:microsoft.com/office/officeart/2005/8/layout/StepDownProcess"/>
    <dgm:cxn modelId="{C3487638-B7D8-4935-8079-FBF79834A42B}" type="presParOf" srcId="{9D1AA91C-F55A-424D-A3A7-5E0FEB9EAD9F}" destId="{F58D68FE-E623-4C44-8049-9D0B2301B604}" srcOrd="0" destOrd="0" presId="urn:microsoft.com/office/officeart/2005/8/layout/StepDownProcess"/>
    <dgm:cxn modelId="{F05CF064-D5EA-4476-BAA1-5ACD4ACB5BB3}" type="presParOf" srcId="{9D1AA91C-F55A-424D-A3A7-5E0FEB9EAD9F}" destId="{6EA16926-FA54-46CB-A44D-C153391F3CBD}" srcOrd="1" destOrd="0" presId="urn:microsoft.com/office/officeart/2005/8/layout/StepDownProcess"/>
    <dgm:cxn modelId="{B6C61889-A229-495F-823D-D534D53DE90C}" type="presParOf" srcId="{9D1AA91C-F55A-424D-A3A7-5E0FEB9EAD9F}" destId="{A5458E26-AE17-402B-B85C-AF7ED9D04093}" srcOrd="2" destOrd="0" presId="urn:microsoft.com/office/officeart/2005/8/layout/StepDownProcess"/>
    <dgm:cxn modelId="{B68877C3-E886-48FC-986C-657C81DA0228}" type="presParOf" srcId="{2912DDD0-9DCA-4335-A037-E95CF7AFDC2E}" destId="{C0F51734-7AEB-47EC-A3D7-5FFDE3D1002F}" srcOrd="9" destOrd="0" presId="urn:microsoft.com/office/officeart/2005/8/layout/StepDownProcess"/>
    <dgm:cxn modelId="{6FE898D9-5A44-497E-9833-77E92397B3AA}" type="presParOf" srcId="{2912DDD0-9DCA-4335-A037-E95CF7AFDC2E}" destId="{23BB76EF-E3DD-4AC7-8803-2960C0A36353}" srcOrd="10" destOrd="0" presId="urn:microsoft.com/office/officeart/2005/8/layout/StepDownProcess"/>
    <dgm:cxn modelId="{046B8EC5-FBB9-4366-BF01-0AA2F3093183}" type="presParOf" srcId="{23BB76EF-E3DD-4AC7-8803-2960C0A36353}" destId="{217DC5E1-132B-4642-B6E1-17C2E9D66B3C}" srcOrd="0" destOrd="0" presId="urn:microsoft.com/office/officeart/2005/8/layout/StepDown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1F6323-8329-4EE2-8D6E-CF5167906898}">
      <dsp:nvSpPr>
        <dsp:cNvPr id="0" name=""/>
        <dsp:cNvSpPr/>
      </dsp:nvSpPr>
      <dsp:spPr>
        <a:xfrm rot="5400000">
          <a:off x="387677" y="858803"/>
          <a:ext cx="552549" cy="629058"/>
        </a:xfrm>
        <a:prstGeom prst="bentUpArrow">
          <a:avLst>
            <a:gd name="adj1" fmla="val 32840"/>
            <a:gd name="adj2" fmla="val 25000"/>
            <a:gd name="adj3" fmla="val 35780"/>
          </a:avLst>
        </a:prstGeom>
        <a:solidFill>
          <a:schemeClr val="accent1">
            <a:tint val="50000"/>
            <a:hueOff val="0"/>
            <a:satOff val="0"/>
            <a:lumOff val="0"/>
            <a:alphaOff val="0"/>
          </a:schemeClr>
        </a:solid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13DBFB98-A90D-46DA-98A7-F2219D97876A}">
      <dsp:nvSpPr>
        <dsp:cNvPr id="0" name=""/>
        <dsp:cNvSpPr/>
      </dsp:nvSpPr>
      <dsp:spPr>
        <a:xfrm>
          <a:off x="3767" y="246290"/>
          <a:ext cx="1405205" cy="651087"/>
        </a:xfrm>
        <a:prstGeom prst="roundRect">
          <a:avLst>
            <a:gd name="adj" fmla="val 1667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b="1" kern="1200"/>
            <a:t>Procesabilidad</a:t>
          </a:r>
        </a:p>
        <a:p>
          <a:pPr marL="0" lvl="0" indent="0" algn="ctr" defTabSz="533400">
            <a:lnSpc>
              <a:spcPct val="90000"/>
            </a:lnSpc>
            <a:spcBef>
              <a:spcPct val="0"/>
            </a:spcBef>
            <a:spcAft>
              <a:spcPct val="35000"/>
            </a:spcAft>
            <a:buNone/>
          </a:pPr>
          <a:r>
            <a:rPr lang="es-ES" sz="1000" kern="1200"/>
            <a:t>(Condiciones básicas)</a:t>
          </a:r>
        </a:p>
      </dsp:txBody>
      <dsp:txXfrm>
        <a:off x="35556" y="278079"/>
        <a:ext cx="1341627" cy="587509"/>
      </dsp:txXfrm>
    </dsp:sp>
    <dsp:sp modelId="{8948413A-779C-4884-9484-A695BC5EBE07}">
      <dsp:nvSpPr>
        <dsp:cNvPr id="0" name=""/>
        <dsp:cNvSpPr/>
      </dsp:nvSpPr>
      <dsp:spPr>
        <a:xfrm>
          <a:off x="1171453" y="308386"/>
          <a:ext cx="676515" cy="526237"/>
        </a:xfrm>
        <a:prstGeom prst="rect">
          <a:avLst/>
        </a:prstGeom>
        <a:noFill/>
        <a:ln>
          <a:noFill/>
        </a:ln>
        <a:effectLst/>
      </dsp:spPr>
      <dsp:style>
        <a:lnRef idx="0">
          <a:scrgbClr r="0" g="0" b="0"/>
        </a:lnRef>
        <a:fillRef idx="0">
          <a:scrgbClr r="0" g="0" b="0"/>
        </a:fillRef>
        <a:effectRef idx="0">
          <a:scrgbClr r="0" g="0" b="0"/>
        </a:effectRef>
        <a:fontRef idx="minor"/>
      </dsp:style>
    </dsp:sp>
    <dsp:sp modelId="{8BBD3B31-E921-4661-9711-D0BF7BC3BD38}">
      <dsp:nvSpPr>
        <dsp:cNvPr id="0" name=""/>
        <dsp:cNvSpPr/>
      </dsp:nvSpPr>
      <dsp:spPr>
        <a:xfrm rot="5400000">
          <a:off x="1272894" y="1590189"/>
          <a:ext cx="552549" cy="629058"/>
        </a:xfrm>
        <a:prstGeom prst="bentUpArrow">
          <a:avLst>
            <a:gd name="adj1" fmla="val 32840"/>
            <a:gd name="adj2" fmla="val 25000"/>
            <a:gd name="adj3" fmla="val 35780"/>
          </a:avLst>
        </a:prstGeom>
        <a:solidFill>
          <a:schemeClr val="accent1">
            <a:tint val="50000"/>
            <a:hueOff val="-3014934"/>
            <a:satOff val="6031"/>
            <a:lumOff val="2556"/>
            <a:alphaOff val="0"/>
          </a:schemeClr>
        </a:solid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F70AA137-0B63-4501-B539-79D87FFEA21B}">
      <dsp:nvSpPr>
        <dsp:cNvPr id="0" name=""/>
        <dsp:cNvSpPr/>
      </dsp:nvSpPr>
      <dsp:spPr>
        <a:xfrm>
          <a:off x="869934" y="958626"/>
          <a:ext cx="1405205" cy="651087"/>
        </a:xfrm>
        <a:prstGeom prst="roundRect">
          <a:avLst>
            <a:gd name="adj" fmla="val 1667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ES" sz="1300" b="1" kern="1200"/>
            <a:t>Admisibilidad</a:t>
          </a:r>
        </a:p>
        <a:p>
          <a:pPr marL="0" lvl="0" indent="0" algn="ctr" defTabSz="577850">
            <a:lnSpc>
              <a:spcPct val="90000"/>
            </a:lnSpc>
            <a:spcBef>
              <a:spcPct val="0"/>
            </a:spcBef>
            <a:spcAft>
              <a:spcPct val="35000"/>
            </a:spcAft>
            <a:buNone/>
          </a:pPr>
          <a:r>
            <a:rPr lang="es-ES" sz="1000" kern="1200"/>
            <a:t>(Verificación de requisitos formales)</a:t>
          </a:r>
        </a:p>
      </dsp:txBody>
      <dsp:txXfrm>
        <a:off x="901723" y="990415"/>
        <a:ext cx="1341627" cy="587509"/>
      </dsp:txXfrm>
    </dsp:sp>
    <dsp:sp modelId="{79182E7A-F368-4D97-B080-08430056E82C}">
      <dsp:nvSpPr>
        <dsp:cNvPr id="0" name=""/>
        <dsp:cNvSpPr/>
      </dsp:nvSpPr>
      <dsp:spPr>
        <a:xfrm>
          <a:off x="2056670" y="1039773"/>
          <a:ext cx="676515" cy="526237"/>
        </a:xfrm>
        <a:prstGeom prst="rect">
          <a:avLst/>
        </a:prstGeom>
        <a:noFill/>
        <a:ln>
          <a:noFill/>
        </a:ln>
        <a:effectLst/>
      </dsp:spPr>
      <dsp:style>
        <a:lnRef idx="0">
          <a:scrgbClr r="0" g="0" b="0"/>
        </a:lnRef>
        <a:fillRef idx="0">
          <a:scrgbClr r="0" g="0" b="0"/>
        </a:fillRef>
        <a:effectRef idx="0">
          <a:scrgbClr r="0" g="0" b="0"/>
        </a:effectRef>
        <a:fontRef idx="minor"/>
      </dsp:style>
    </dsp:sp>
    <dsp:sp modelId="{881FB30E-49C7-4A01-B0E6-4D950B389BAA}">
      <dsp:nvSpPr>
        <dsp:cNvPr id="0" name=""/>
        <dsp:cNvSpPr/>
      </dsp:nvSpPr>
      <dsp:spPr>
        <a:xfrm rot="5400000">
          <a:off x="2426753" y="2321575"/>
          <a:ext cx="552549" cy="629058"/>
        </a:xfrm>
        <a:prstGeom prst="bentUpArrow">
          <a:avLst>
            <a:gd name="adj1" fmla="val 32840"/>
            <a:gd name="adj2" fmla="val 25000"/>
            <a:gd name="adj3" fmla="val 35780"/>
          </a:avLst>
        </a:prstGeom>
        <a:solidFill>
          <a:schemeClr val="accent1">
            <a:tint val="50000"/>
            <a:hueOff val="-6029867"/>
            <a:satOff val="12062"/>
            <a:lumOff val="5113"/>
            <a:alphaOff val="0"/>
          </a:schemeClr>
        </a:solid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4EDC7DB8-81D5-4227-BD69-BFC788A94B32}">
      <dsp:nvSpPr>
        <dsp:cNvPr id="0" name=""/>
        <dsp:cNvSpPr/>
      </dsp:nvSpPr>
      <dsp:spPr>
        <a:xfrm>
          <a:off x="1745626" y="1670961"/>
          <a:ext cx="1942488" cy="651087"/>
        </a:xfrm>
        <a:prstGeom prst="roundRect">
          <a:avLst>
            <a:gd name="adj" fmla="val 1667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ES" sz="1300" b="1" kern="1200"/>
            <a:t>Acreditación Curricular</a:t>
          </a:r>
        </a:p>
        <a:p>
          <a:pPr marL="0" lvl="0" indent="0" algn="ctr" defTabSz="577850">
            <a:lnSpc>
              <a:spcPct val="90000"/>
            </a:lnSpc>
            <a:spcBef>
              <a:spcPct val="0"/>
            </a:spcBef>
            <a:spcAft>
              <a:spcPct val="35000"/>
            </a:spcAft>
            <a:buNone/>
          </a:pPr>
          <a:r>
            <a:rPr lang="es-ES" sz="1000" kern="1200"/>
            <a:t>(La Unidad soliicitante esté registrado)</a:t>
          </a:r>
        </a:p>
      </dsp:txBody>
      <dsp:txXfrm>
        <a:off x="1777415" y="1702750"/>
        <a:ext cx="1878910" cy="587509"/>
      </dsp:txXfrm>
    </dsp:sp>
    <dsp:sp modelId="{5D97B6C7-7198-4785-AF77-936E057456A7}">
      <dsp:nvSpPr>
        <dsp:cNvPr id="0" name=""/>
        <dsp:cNvSpPr/>
      </dsp:nvSpPr>
      <dsp:spPr>
        <a:xfrm>
          <a:off x="3210529" y="1771159"/>
          <a:ext cx="676515" cy="526237"/>
        </a:xfrm>
        <a:prstGeom prst="rect">
          <a:avLst/>
        </a:prstGeom>
        <a:noFill/>
        <a:ln>
          <a:noFill/>
        </a:ln>
        <a:effectLst/>
      </dsp:spPr>
      <dsp:style>
        <a:lnRef idx="0">
          <a:scrgbClr r="0" g="0" b="0"/>
        </a:lnRef>
        <a:fillRef idx="0">
          <a:scrgbClr r="0" g="0" b="0"/>
        </a:fillRef>
        <a:effectRef idx="0">
          <a:scrgbClr r="0" g="0" b="0"/>
        </a:effectRef>
        <a:fontRef idx="minor"/>
      </dsp:style>
    </dsp:sp>
    <dsp:sp modelId="{4F145308-FA53-484D-894F-D7F72EF3C332}">
      <dsp:nvSpPr>
        <dsp:cNvPr id="0" name=""/>
        <dsp:cNvSpPr/>
      </dsp:nvSpPr>
      <dsp:spPr>
        <a:xfrm rot="5400000">
          <a:off x="3169706" y="3052961"/>
          <a:ext cx="552549" cy="629058"/>
        </a:xfrm>
        <a:prstGeom prst="bentUpArrow">
          <a:avLst>
            <a:gd name="adj1" fmla="val 32840"/>
            <a:gd name="adj2" fmla="val 25000"/>
            <a:gd name="adj3" fmla="val 35780"/>
          </a:avLst>
        </a:prstGeom>
        <a:solidFill>
          <a:schemeClr val="accent1">
            <a:tint val="50000"/>
            <a:hueOff val="-9044800"/>
            <a:satOff val="18094"/>
            <a:lumOff val="7669"/>
            <a:alphaOff val="0"/>
          </a:schemeClr>
        </a:solid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40231BD3-CFBF-4D8D-9A34-728E0E357C5B}">
      <dsp:nvSpPr>
        <dsp:cNvPr id="0" name=""/>
        <dsp:cNvSpPr/>
      </dsp:nvSpPr>
      <dsp:spPr>
        <a:xfrm>
          <a:off x="2926116" y="2430923"/>
          <a:ext cx="1657959" cy="651087"/>
        </a:xfrm>
        <a:prstGeom prst="roundRect">
          <a:avLst>
            <a:gd name="adj" fmla="val 1667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b="1" kern="1200"/>
            <a:t>Evaluación de Pares</a:t>
          </a:r>
        </a:p>
        <a:p>
          <a:pPr marL="0" lvl="0" indent="0" algn="ctr" defTabSz="533400">
            <a:lnSpc>
              <a:spcPct val="90000"/>
            </a:lnSpc>
            <a:spcBef>
              <a:spcPct val="0"/>
            </a:spcBef>
            <a:spcAft>
              <a:spcPct val="35000"/>
            </a:spcAft>
            <a:buNone/>
          </a:pPr>
          <a:r>
            <a:rPr lang="es-ES" sz="1000" kern="1200"/>
            <a:t>(calidad cintífico-tecnológico)</a:t>
          </a:r>
        </a:p>
      </dsp:txBody>
      <dsp:txXfrm>
        <a:off x="2957905" y="2462712"/>
        <a:ext cx="1594381" cy="587509"/>
      </dsp:txXfrm>
    </dsp:sp>
    <dsp:sp modelId="{88ACEE98-ED86-449C-825C-BF00FC8632F2}">
      <dsp:nvSpPr>
        <dsp:cNvPr id="0" name=""/>
        <dsp:cNvSpPr/>
      </dsp:nvSpPr>
      <dsp:spPr>
        <a:xfrm>
          <a:off x="3953482" y="2502545"/>
          <a:ext cx="676515" cy="526237"/>
        </a:xfrm>
        <a:prstGeom prst="rect">
          <a:avLst/>
        </a:prstGeom>
        <a:noFill/>
        <a:ln>
          <a:noFill/>
        </a:ln>
        <a:effectLst/>
      </dsp:spPr>
      <dsp:style>
        <a:lnRef idx="0">
          <a:scrgbClr r="0" g="0" b="0"/>
        </a:lnRef>
        <a:fillRef idx="0">
          <a:scrgbClr r="0" g="0" b="0"/>
        </a:fillRef>
        <a:effectRef idx="0">
          <a:scrgbClr r="0" g="0" b="0"/>
        </a:effectRef>
        <a:fontRef idx="minor"/>
      </dsp:style>
    </dsp:sp>
    <dsp:sp modelId="{F58D68FE-E623-4C44-8049-9D0B2301B604}">
      <dsp:nvSpPr>
        <dsp:cNvPr id="0" name=""/>
        <dsp:cNvSpPr/>
      </dsp:nvSpPr>
      <dsp:spPr>
        <a:xfrm rot="5400000">
          <a:off x="4046007" y="3784347"/>
          <a:ext cx="552549" cy="629058"/>
        </a:xfrm>
        <a:prstGeom prst="bentUpArrow">
          <a:avLst>
            <a:gd name="adj1" fmla="val 32840"/>
            <a:gd name="adj2" fmla="val 25000"/>
            <a:gd name="adj3" fmla="val 35780"/>
          </a:avLst>
        </a:prstGeom>
        <a:solidFill>
          <a:schemeClr val="accent1">
            <a:tint val="50000"/>
            <a:hueOff val="-12059734"/>
            <a:satOff val="24125"/>
            <a:lumOff val="10225"/>
            <a:alphaOff val="0"/>
          </a:schemeClr>
        </a:solid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6EA16926-FA54-46CB-A44D-C153391F3CBD}">
      <dsp:nvSpPr>
        <dsp:cNvPr id="0" name=""/>
        <dsp:cNvSpPr/>
      </dsp:nvSpPr>
      <dsp:spPr>
        <a:xfrm>
          <a:off x="3649409" y="3171835"/>
          <a:ext cx="1640128" cy="651087"/>
        </a:xfrm>
        <a:prstGeom prst="roundRect">
          <a:avLst>
            <a:gd name="adj" fmla="val 1667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ES" sz="1300" b="1" kern="1200"/>
            <a:t>Comisión de Revisión</a:t>
          </a:r>
        </a:p>
        <a:p>
          <a:pPr marL="0" lvl="0" indent="0" algn="ctr" defTabSz="577850">
            <a:lnSpc>
              <a:spcPct val="90000"/>
            </a:lnSpc>
            <a:spcBef>
              <a:spcPct val="0"/>
            </a:spcBef>
            <a:spcAft>
              <a:spcPct val="35000"/>
            </a:spcAft>
            <a:buNone/>
          </a:pPr>
          <a:r>
            <a:rPr lang="es-ES" sz="1000" kern="1200"/>
            <a:t>(Pertinencia + Informe final)</a:t>
          </a:r>
        </a:p>
      </dsp:txBody>
      <dsp:txXfrm>
        <a:off x="3681198" y="3203624"/>
        <a:ext cx="1576550" cy="587509"/>
      </dsp:txXfrm>
    </dsp:sp>
    <dsp:sp modelId="{A5458E26-AE17-402B-B85C-AF7ED9D04093}">
      <dsp:nvSpPr>
        <dsp:cNvPr id="0" name=""/>
        <dsp:cNvSpPr/>
      </dsp:nvSpPr>
      <dsp:spPr>
        <a:xfrm>
          <a:off x="4829783" y="3233931"/>
          <a:ext cx="676515" cy="526237"/>
        </a:xfrm>
        <a:prstGeom prst="rect">
          <a:avLst/>
        </a:prstGeom>
        <a:noFill/>
        <a:ln>
          <a:noFill/>
        </a:ln>
        <a:effectLst/>
      </dsp:spPr>
      <dsp:style>
        <a:lnRef idx="0">
          <a:scrgbClr r="0" g="0" b="0"/>
        </a:lnRef>
        <a:fillRef idx="0">
          <a:scrgbClr r="0" g="0" b="0"/>
        </a:fillRef>
        <a:effectRef idx="0">
          <a:scrgbClr r="0" g="0" b="0"/>
        </a:effectRef>
        <a:fontRef idx="minor"/>
      </dsp:style>
    </dsp:sp>
    <dsp:sp modelId="{217DC5E1-132B-4642-B6E1-17C2E9D66B3C}">
      <dsp:nvSpPr>
        <dsp:cNvPr id="0" name=""/>
        <dsp:cNvSpPr/>
      </dsp:nvSpPr>
      <dsp:spPr>
        <a:xfrm>
          <a:off x="4429852" y="3903221"/>
          <a:ext cx="1405205" cy="651087"/>
        </a:xfrm>
        <a:prstGeom prst="roundRect">
          <a:avLst>
            <a:gd name="adj" fmla="val 1667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ES" sz="1300" b="1" kern="1200"/>
            <a:t>Resolución de Comisión</a:t>
          </a:r>
        </a:p>
      </dsp:txBody>
      <dsp:txXfrm>
        <a:off x="4461641" y="3935010"/>
        <a:ext cx="1341627" cy="587509"/>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Agencia de desarrollo científico, tecnlógico e innovación del Sistema Nacional de Ciencia , Tecnología e Innovación (SNCTI)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123896-2C62-794A-AB82-7538F42C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10838</Words>
  <Characters>59614</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FONDO NACIONAL UNIVERSITARIO DE              CIENCIA Y TECNOLOGÍA              (FONuCyt)</vt:lpstr>
    </vt:vector>
  </TitlesOfParts>
  <Company>Toshiba</Company>
  <LinksUpToDate>false</LinksUpToDate>
  <CharactersWithSpaces>70312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NACIONAL UNIVERSITARIO DE              CIENCIA Y TECNOLOGÍA              (FONuCyt)</dc:title>
  <dc:subject>”</dc:subject>
  <dc:creator>Alfredo Pericon</dc:creator>
  <cp:lastModifiedBy>Alvaro Padilla Omiste</cp:lastModifiedBy>
  <cp:revision>2</cp:revision>
  <cp:lastPrinted>2017-01-11T20:32:00Z</cp:lastPrinted>
  <dcterms:created xsi:type="dcterms:W3CDTF">2018-03-01T13:30:00Z</dcterms:created>
  <dcterms:modified xsi:type="dcterms:W3CDTF">2018-03-01T13:30:00Z</dcterms:modified>
</cp:coreProperties>
</file>