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69A" w:rsidRPr="0024069A" w:rsidRDefault="0024069A" w:rsidP="0024069A">
      <w:pPr>
        <w:spacing w:line="276" w:lineRule="auto"/>
        <w:ind w:firstLine="0"/>
        <w:jc w:val="both"/>
        <w:rPr>
          <w:rFonts w:asciiTheme="majorHAnsi" w:hAnsiTheme="majorHAnsi" w:cstheme="majorHAnsi"/>
          <w:b/>
          <w:i/>
          <w:sz w:val="22"/>
          <w:lang w:eastAsia="es-MX"/>
        </w:rPr>
      </w:pPr>
      <w:r w:rsidRPr="0024069A">
        <w:rPr>
          <w:rFonts w:asciiTheme="majorHAnsi" w:hAnsiTheme="majorHAnsi" w:cstheme="majorHAnsi"/>
          <w:b/>
          <w:i/>
          <w:sz w:val="22"/>
          <w:lang w:eastAsia="es-MX"/>
        </w:rPr>
        <w:t xml:space="preserve">Lenguaje de programación mediante el cual el programador debe describir los pasos de un proceso requeridos para hacer algo, en contraste con un lenguaje que no es de procedimientos, como SQL, con el que el programador sólo describe los resultados deseados. </w:t>
      </w:r>
      <w:sdt>
        <w:sdtPr>
          <w:rPr>
            <w:rFonts w:asciiTheme="majorHAnsi" w:hAnsiTheme="majorHAnsi" w:cstheme="majorHAnsi"/>
            <w:b/>
            <w:i/>
            <w:sz w:val="22"/>
            <w:lang w:eastAsia="es-MX"/>
          </w:rPr>
          <w:id w:val="1559207049"/>
          <w:citation/>
        </w:sdtPr>
        <w:sdtContent>
          <w:bookmarkStart w:id="0" w:name="_GoBack"/>
          <w:r w:rsidRPr="0024069A">
            <w:rPr>
              <w:rFonts w:asciiTheme="majorHAnsi" w:hAnsiTheme="majorHAnsi" w:cstheme="majorHAnsi"/>
              <w:b/>
              <w:i/>
              <w:sz w:val="22"/>
              <w:lang w:eastAsia="es-MX"/>
            </w:rPr>
            <w:fldChar w:fldCharType="begin"/>
          </w:r>
          <w:r w:rsidRPr="0024069A">
            <w:rPr>
              <w:rFonts w:asciiTheme="majorHAnsi" w:hAnsiTheme="majorHAnsi" w:cstheme="majorHAnsi"/>
              <w:b/>
              <w:i/>
              <w:sz w:val="22"/>
              <w:lang w:eastAsia="es-MX"/>
            </w:rPr>
            <w:instrText xml:space="preserve">CITATION And09 \p 238 \l 2058 </w:instrText>
          </w:r>
          <w:r w:rsidRPr="0024069A">
            <w:rPr>
              <w:rFonts w:asciiTheme="majorHAnsi" w:hAnsiTheme="majorHAnsi" w:cstheme="majorHAnsi"/>
              <w:b/>
              <w:i/>
              <w:sz w:val="22"/>
              <w:lang w:eastAsia="es-MX"/>
            </w:rPr>
            <w:fldChar w:fldCharType="separate"/>
          </w:r>
          <w:r w:rsidRPr="0024069A">
            <w:rPr>
              <w:rFonts w:asciiTheme="majorHAnsi" w:hAnsiTheme="majorHAnsi" w:cstheme="majorHAnsi"/>
              <w:b/>
              <w:i/>
              <w:noProof/>
              <w:sz w:val="22"/>
              <w:lang w:eastAsia="es-MX"/>
            </w:rPr>
            <w:t>(Oppel, 2009, pág. 238)</w:t>
          </w:r>
          <w:r w:rsidRPr="0024069A">
            <w:rPr>
              <w:rFonts w:asciiTheme="majorHAnsi" w:hAnsiTheme="majorHAnsi" w:cstheme="majorHAnsi"/>
              <w:b/>
              <w:i/>
              <w:sz w:val="22"/>
              <w:lang w:eastAsia="es-MX"/>
            </w:rPr>
            <w:fldChar w:fldCharType="end"/>
          </w:r>
          <w:bookmarkEnd w:id="0"/>
        </w:sdtContent>
      </w:sdt>
    </w:p>
    <w:p w:rsidR="00ED47DB" w:rsidRPr="002D3C24" w:rsidRDefault="00ED47DB" w:rsidP="002D3C24">
      <w:pPr>
        <w:autoSpaceDE w:val="0"/>
        <w:autoSpaceDN w:val="0"/>
        <w:adjustRightInd w:val="0"/>
        <w:spacing w:line="240" w:lineRule="auto"/>
        <w:rPr>
          <w:rFonts w:asciiTheme="majorHAnsi" w:hAnsiTheme="majorHAnsi" w:cstheme="majorHAnsi"/>
          <w:b/>
          <w:i/>
        </w:rPr>
      </w:pPr>
    </w:p>
    <w:sectPr w:rsidR="00ED47DB" w:rsidRPr="002D3C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52590"/>
    <w:multiLevelType w:val="hybridMultilevel"/>
    <w:tmpl w:val="04F0D12A"/>
    <w:lvl w:ilvl="0" w:tplc="BDE81A3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24"/>
    <w:rsid w:val="000127DC"/>
    <w:rsid w:val="0024069A"/>
    <w:rsid w:val="002D3C24"/>
    <w:rsid w:val="003077D5"/>
    <w:rsid w:val="003C6B9A"/>
    <w:rsid w:val="00673D61"/>
    <w:rsid w:val="00872F3D"/>
    <w:rsid w:val="00C964B7"/>
    <w:rsid w:val="00D529EB"/>
    <w:rsid w:val="00DF43F4"/>
    <w:rsid w:val="00ED47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D840"/>
  <w15:chartTrackingRefBased/>
  <w15:docId w15:val="{730C8F4F-4EF9-499E-9EFE-A6C7C7A6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9EB"/>
    <w:pPr>
      <w:spacing w:after="0" w:line="480" w:lineRule="auto"/>
      <w:ind w:firstLine="284"/>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3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b:Tag>
    <b:SourceType>Book</b:SourceType>
    <b:Guid>{D5436263-95D2-47DF-BBF0-42E6F08F006E}</b:Guid>
    <b:Author>
      <b:Author>
        <b:NameList>
          <b:Person>
            <b:Last>Abraham</b:Last>
            <b:First>Silberschatz</b:First>
          </b:Person>
        </b:NameList>
      </b:Author>
    </b:Author>
    <b:Title>Fundamentos de Bases de Datos  Abraham Silberschatz 4ta Edicion</b:Title>
    <b:Year>2002</b:Year>
    <b:City>Madrid</b:City>
    <b:Publisher>McGRAW-HILL/INTERAMERICANA DE ESPAÑA, S. A. U.</b:Publisher>
    <b:RefOrder>1</b:RefOrder>
  </b:Source>
  <b:Source>
    <b:Tag>Jor04</b:Tag>
    <b:SourceType>Book</b:SourceType>
    <b:Guid>{DA967F06-E3FE-45EA-BADE-567D97B6D503}</b:Guid>
    <b:Author>
      <b:Author>
        <b:NameList>
          <b:Person>
            <b:Last>Sánchez</b:Last>
            <b:First>Jorgue</b:First>
          </b:Person>
        </b:NameList>
      </b:Author>
    </b:Author>
    <b:Title>Conceptual de  Bases de Datos</b:Title>
    <b:Year>2004</b:Year>
    <b:City>Stanford, California 94305, USA. </b:City>
    <b:Publisher>Creative Commons</b:Publisher>
    <b:RefOrder>4</b:RefOrder>
  </b:Source>
  <b:Source>
    <b:Tag>And09</b:Tag>
    <b:SourceType>Book</b:SourceType>
    <b:Guid>{E0662FB9-2DCD-4855-B560-356F08259AFD}</b:Guid>
    <b:Author>
      <b:Author>
        <b:NameList>
          <b:Person>
            <b:Last>Oppel</b:Last>
            <b:First>Andy</b:First>
          </b:Person>
        </b:NameList>
      </b:Author>
    </b:Author>
    <b:Title>Fundamentos de Bases de datos</b:Title>
    <b:Year>2009</b:Year>
    <b:City>México, D.F.</b:City>
    <b:Publisher>Mc Graw Hill Educación</b:Publisher>
    <b:RefOrder>3</b:RefOrder>
  </b:Source>
</b:Sources>
</file>

<file path=customXml/itemProps1.xml><?xml version="1.0" encoding="utf-8"?>
<ds:datastoreItem xmlns:ds="http://schemas.openxmlformats.org/officeDocument/2006/customXml" ds:itemID="{DBB5F9AB-2078-49E5-A945-4DACED87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269</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2</cp:revision>
  <dcterms:created xsi:type="dcterms:W3CDTF">2019-02-13T03:09:00Z</dcterms:created>
  <dcterms:modified xsi:type="dcterms:W3CDTF">2019-02-13T03:09:00Z</dcterms:modified>
</cp:coreProperties>
</file>