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D03" w:rsidRDefault="00D3673D" w:rsidP="00D3673D">
      <w:pPr>
        <w:jc w:val="center"/>
        <w:rPr>
          <w:sz w:val="32"/>
          <w:szCs w:val="32"/>
        </w:rPr>
      </w:pPr>
      <w:r>
        <w:rPr>
          <w:sz w:val="32"/>
          <w:szCs w:val="32"/>
        </w:rPr>
        <w:t>Nube hibridas</w:t>
      </w:r>
    </w:p>
    <w:p w:rsidR="00D3673D" w:rsidRPr="00D3673D" w:rsidRDefault="00D3673D" w:rsidP="00D3673D">
      <w:pPr>
        <w:rPr>
          <w:rFonts w:ascii="Arial" w:hAnsi="Arial" w:cs="Arial"/>
          <w:sz w:val="24"/>
          <w:szCs w:val="24"/>
        </w:rPr>
      </w:pPr>
      <w:r w:rsidRPr="00D3673D">
        <w:rPr>
          <w:rFonts w:ascii="Arial" w:hAnsi="Arial" w:cs="Arial"/>
          <w:sz w:val="24"/>
          <w:szCs w:val="24"/>
        </w:rPr>
        <w:t>Es un conjunto de recursos virtuales —desarrollados a partir de hardware que es propiedad de una empresa de terceros y que es administrado por ella, y de hardware que pertenece a la empresa que utiliza la nube— orquestados por software de administración y automatización que permite que los usuarios puedan acceder a los recursos a pedido a través de los portales de autoservicio que reciben el soporte del escalado automático y de la asignación dinámica de recursos.</w:t>
      </w:r>
    </w:p>
    <w:p w:rsidR="00D3673D" w:rsidRDefault="00D3673D" w:rsidP="00D3673D">
      <w:pPr>
        <w:rPr>
          <w:rFonts w:ascii="Arial" w:hAnsi="Arial" w:cs="Arial"/>
          <w:sz w:val="24"/>
          <w:szCs w:val="24"/>
        </w:rPr>
      </w:pPr>
    </w:p>
    <w:p w:rsidR="00D3673D" w:rsidRDefault="00D3673D" w:rsidP="00D367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2762250" cy="2190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be hibrid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673D" w:rsidRPr="00D3673D" w:rsidRDefault="00D3673D" w:rsidP="00D3673D">
      <w:pPr>
        <w:rPr>
          <w:rFonts w:ascii="Arial" w:hAnsi="Arial" w:cs="Arial"/>
          <w:sz w:val="24"/>
          <w:szCs w:val="24"/>
        </w:rPr>
      </w:pPr>
    </w:p>
    <w:p w:rsidR="00D3673D" w:rsidRPr="00D3673D" w:rsidRDefault="00D3673D" w:rsidP="00D3673D">
      <w:pPr>
        <w:rPr>
          <w:rFonts w:ascii="Arial" w:hAnsi="Arial" w:cs="Arial"/>
          <w:sz w:val="24"/>
          <w:szCs w:val="24"/>
        </w:rPr>
      </w:pPr>
      <w:r w:rsidRPr="00D3673D">
        <w:rPr>
          <w:rFonts w:ascii="Arial" w:hAnsi="Arial" w:cs="Arial"/>
          <w:sz w:val="24"/>
          <w:szCs w:val="24"/>
        </w:rPr>
        <w:t>Aunque los entornos de nube pública y privada que conforman una nube híbrida siguen siendo entidades únicas e individuales, la migración entre ellos se simplifica con el uso de interfaces de programación de aplicaciones (API) que ayudan a transferir los recursos y las cargas de trabajo. Esta arquitectura independiente y conectada a la vez permite que las empresas ejecuten cargas de trabajo críticas en la nube privada y menos cargas de trabajo sensibles en la nube pública, y que extraigan recursos de cualquiera de los dos entornos según lo deseen. Es una configuración que minimiza la exposición de datos y permite a las empresas personalizar una cartera de productos escalable, flexible y segura de recursos y servicios de TI.</w:t>
      </w:r>
    </w:p>
    <w:sectPr w:rsidR="00D3673D" w:rsidRPr="00D367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3D"/>
    <w:rsid w:val="00154D03"/>
    <w:rsid w:val="00D3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04272-671A-4C15-AF07-BD8A8347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2019-02-19T14:03:00Z</dcterms:created>
  <dcterms:modified xsi:type="dcterms:W3CDTF">2019-02-19T14:11:00Z</dcterms:modified>
</cp:coreProperties>
</file>