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C85" w:rsidRPr="00961C85" w:rsidRDefault="00961C85" w:rsidP="00961C85">
      <w:pPr>
        <w:jc w:val="center"/>
        <w:rPr>
          <w:rFonts w:ascii="Broadway" w:hAnsi="Broadway"/>
          <w:color w:val="000000" w:themeColor="text1"/>
          <w:sz w:val="36"/>
          <w:szCs w:val="36"/>
        </w:rPr>
      </w:pPr>
      <w:hyperlink r:id="rId4" w:tooltip="Definición de individuo" w:history="1">
        <w:r w:rsidRPr="00961C85">
          <w:rPr>
            <w:rStyle w:val="Hipervnculo"/>
            <w:rFonts w:ascii="Broadway" w:hAnsi="Broadway"/>
            <w:color w:val="000000" w:themeColor="text1"/>
            <w:sz w:val="36"/>
            <w:szCs w:val="36"/>
            <w:u w:val="none"/>
          </w:rPr>
          <w:t>DEFINICIÓN DE INDIVIDUO</w:t>
        </w:r>
      </w:hyperlink>
    </w:p>
    <w:p w:rsidR="00961C85" w:rsidRPr="00961C85" w:rsidRDefault="00961C85" w:rsidP="00961C85">
      <w:pPr>
        <w:spacing w:after="0" w:line="459" w:lineRule="atLeast"/>
        <w:jc w:val="both"/>
        <w:textAlignment w:val="baseline"/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</w:pPr>
      <w:r w:rsidRPr="00961C85">
        <w:rPr>
          <w:rFonts w:ascii="Candara" w:eastAsia="Times New Roman" w:hAnsi="Candara" w:cs="Times New Roman"/>
          <w:noProof/>
          <w:color w:val="666666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-48639</wp:posOffset>
            </wp:positionH>
            <wp:positionV relativeFrom="paragraph">
              <wp:posOffset>246177</wp:posOffset>
            </wp:positionV>
            <wp:extent cx="1332865" cy="1031240"/>
            <wp:effectExtent l="0" t="0" r="635" b="0"/>
            <wp:wrapSquare wrapText="bothSides"/>
            <wp:docPr id="1" name="Imagen 1" descr="Individ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vidu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C85">
        <w:rPr>
          <w:rFonts w:ascii="Candara" w:eastAsia="Times New Roman" w:hAnsi="Candara" w:cs="Times New Roman"/>
          <w:b/>
          <w:bCs/>
          <w:color w:val="666666"/>
          <w:sz w:val="24"/>
          <w:szCs w:val="26"/>
          <w:bdr w:val="none" w:sz="0" w:space="0" w:color="auto" w:frame="1"/>
          <w:lang w:eastAsia="es-MX"/>
        </w:rPr>
        <w:t>Individuo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 es un término con origen en el latín </w:t>
      </w:r>
      <w:r w:rsidRPr="00961C85">
        <w:rPr>
          <w:rFonts w:ascii="Candara" w:eastAsia="Times New Roman" w:hAnsi="Candara" w:cs="Times New Roman"/>
          <w:i/>
          <w:iCs/>
          <w:color w:val="666666"/>
          <w:sz w:val="24"/>
          <w:szCs w:val="26"/>
          <w:bdr w:val="none" w:sz="0" w:space="0" w:color="auto" w:frame="1"/>
          <w:lang w:eastAsia="es-MX"/>
        </w:rPr>
        <w:t>individuus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 y que refiere a lo que </w:t>
      </w:r>
      <w:r w:rsidRPr="00961C85">
        <w:rPr>
          <w:rFonts w:ascii="Candara" w:eastAsia="Times New Roman" w:hAnsi="Candara" w:cs="Times New Roman"/>
          <w:b/>
          <w:bCs/>
          <w:color w:val="666666"/>
          <w:sz w:val="24"/>
          <w:szCs w:val="26"/>
          <w:bdr w:val="none" w:sz="0" w:space="0" w:color="auto" w:frame="1"/>
          <w:lang w:eastAsia="es-MX"/>
        </w:rPr>
        <w:t>no puede ser dividido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. Se trata, por lo tanto, de una </w:t>
      </w:r>
      <w:r w:rsidRPr="00961C85">
        <w:rPr>
          <w:rFonts w:ascii="Candara" w:eastAsia="Times New Roman" w:hAnsi="Candara" w:cs="Times New Roman"/>
          <w:b/>
          <w:bCs/>
          <w:color w:val="666666"/>
          <w:sz w:val="24"/>
          <w:szCs w:val="26"/>
          <w:bdr w:val="none" w:sz="0" w:space="0" w:color="auto" w:frame="1"/>
          <w:lang w:eastAsia="es-MX"/>
        </w:rPr>
        <w:t>unidad independiente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 (frente a otras </w:t>
      </w:r>
      <w:hyperlink r:id="rId6" w:history="1">
        <w:r w:rsidRPr="00961C85">
          <w:rPr>
            <w:rFonts w:ascii="Candara" w:eastAsia="Times New Roman" w:hAnsi="Candara" w:cs="Times New Roman"/>
            <w:b/>
            <w:bCs/>
            <w:color w:val="BB4B0D"/>
            <w:sz w:val="24"/>
            <w:szCs w:val="26"/>
            <w:u w:val="single"/>
            <w:bdr w:val="none" w:sz="0" w:space="0" w:color="auto" w:frame="1"/>
            <w:lang w:eastAsia="es-MX"/>
          </w:rPr>
          <w:t>unidades</w:t>
        </w:r>
      </w:hyperlink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) o de una </w:t>
      </w:r>
      <w:r w:rsidRPr="00961C85">
        <w:rPr>
          <w:rFonts w:ascii="Candara" w:eastAsia="Times New Roman" w:hAnsi="Candara" w:cs="Times New Roman"/>
          <w:b/>
          <w:bCs/>
          <w:color w:val="666666"/>
          <w:sz w:val="24"/>
          <w:szCs w:val="26"/>
          <w:bdr w:val="none" w:sz="0" w:space="0" w:color="auto" w:frame="1"/>
          <w:lang w:eastAsia="es-MX"/>
        </w:rPr>
        <w:t>unidad elemental</w:t>
      </w:r>
      <w:r>
        <w:rPr>
          <w:rFonts w:ascii="Candara" w:eastAsia="Times New Roman" w:hAnsi="Candara" w:cs="Times New Roman"/>
          <w:b/>
          <w:bCs/>
          <w:color w:val="666666"/>
          <w:sz w:val="24"/>
          <w:szCs w:val="26"/>
          <w:bdr w:val="none" w:sz="0" w:space="0" w:color="auto" w:frame="1"/>
          <w:lang w:eastAsia="es-MX"/>
        </w:rPr>
        <w:t xml:space="preserve"> 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(respecto a un </w:t>
      </w:r>
      <w:hyperlink r:id="rId7" w:history="1">
        <w:r w:rsidRPr="00961C85">
          <w:rPr>
            <w:rFonts w:ascii="Candara" w:eastAsia="Times New Roman" w:hAnsi="Candara" w:cs="Times New Roman"/>
            <w:b/>
            <w:bCs/>
            <w:color w:val="BB4B0D"/>
            <w:sz w:val="24"/>
            <w:szCs w:val="26"/>
            <w:u w:val="single"/>
            <w:bdr w:val="none" w:sz="0" w:space="0" w:color="auto" w:frame="1"/>
            <w:lang w:eastAsia="es-MX"/>
          </w:rPr>
          <w:t>sistema</w:t>
        </w:r>
      </w:hyperlink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 mayor).</w:t>
      </w:r>
    </w:p>
    <w:p w:rsidR="00961C85" w:rsidRPr="00961C85" w:rsidRDefault="00961C85" w:rsidP="00961C85">
      <w:pPr>
        <w:spacing w:after="0" w:line="480" w:lineRule="atLeast"/>
        <w:jc w:val="both"/>
        <w:textAlignment w:val="baseline"/>
        <w:rPr>
          <w:rFonts w:ascii="Candara" w:eastAsia="Times New Roman" w:hAnsi="Candara" w:cs="Times New Roman"/>
          <w:color w:val="666666"/>
          <w:szCs w:val="24"/>
          <w:lang w:eastAsia="es-MX"/>
        </w:rPr>
      </w:pPr>
    </w:p>
    <w:p w:rsidR="00961C85" w:rsidRPr="00961C85" w:rsidRDefault="00961C85" w:rsidP="00961C85">
      <w:pPr>
        <w:spacing w:after="0" w:line="459" w:lineRule="atLeast"/>
        <w:jc w:val="both"/>
        <w:textAlignment w:val="baseline"/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</w:pP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El concepto implica diversas consideraciones en el campo de la </w:t>
      </w:r>
      <w:hyperlink r:id="rId8" w:history="1">
        <w:r w:rsidRPr="00961C85">
          <w:rPr>
            <w:rFonts w:ascii="Candara" w:eastAsia="Times New Roman" w:hAnsi="Candara" w:cs="Times New Roman"/>
            <w:b/>
            <w:bCs/>
            <w:color w:val="BB4B0D"/>
            <w:sz w:val="24"/>
            <w:szCs w:val="26"/>
            <w:u w:val="single"/>
            <w:bdr w:val="none" w:sz="0" w:space="0" w:color="auto" w:frame="1"/>
            <w:lang w:eastAsia="es-MX"/>
          </w:rPr>
          <w:t>lógica</w:t>
        </w:r>
      </w:hyperlink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 y la </w:t>
      </w:r>
      <w:hyperlink r:id="rId9" w:history="1">
        <w:r w:rsidRPr="00961C85">
          <w:rPr>
            <w:rFonts w:ascii="Candara" w:eastAsia="Times New Roman" w:hAnsi="Candara" w:cs="Times New Roman"/>
            <w:b/>
            <w:bCs/>
            <w:color w:val="BB4B0D"/>
            <w:sz w:val="24"/>
            <w:szCs w:val="26"/>
            <w:u w:val="single"/>
            <w:bdr w:val="none" w:sz="0" w:space="0" w:color="auto" w:frame="1"/>
            <w:lang w:eastAsia="es-MX"/>
          </w:rPr>
          <w:t>filosofía</w:t>
        </w:r>
      </w:hyperlink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. Un individuo es uno frente a una pluralidad (muchos individuos). El individuo, por lo tanto, tiene un referente individual, aunque también puede tratarse de un individuo indeterminado de una cierta clase.</w:t>
      </w:r>
    </w:p>
    <w:p w:rsidR="00961C85" w:rsidRPr="00961C85" w:rsidRDefault="00961C85" w:rsidP="00961C85">
      <w:pPr>
        <w:spacing w:after="0" w:line="459" w:lineRule="atLeast"/>
        <w:jc w:val="both"/>
        <w:textAlignment w:val="baseline"/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</w:pP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Por ejemplo: un trío de amigos que caminan por la calle está compuesto por tres individuos. Cada uno de ellos tiene un nombre (</w:t>
      </w:r>
      <w:r w:rsidRPr="00961C85">
        <w:rPr>
          <w:rFonts w:ascii="Candara" w:eastAsia="Times New Roman" w:hAnsi="Candara" w:cs="Times New Roman"/>
          <w:b/>
          <w:bCs/>
          <w:color w:val="666666"/>
          <w:sz w:val="24"/>
          <w:szCs w:val="26"/>
          <w:bdr w:val="none" w:sz="0" w:space="0" w:color="auto" w:frame="1"/>
          <w:lang w:eastAsia="es-MX"/>
        </w:rPr>
        <w:t>Juan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, </w:t>
      </w:r>
      <w:r w:rsidRPr="00961C85">
        <w:rPr>
          <w:rFonts w:ascii="Candara" w:eastAsia="Times New Roman" w:hAnsi="Candara" w:cs="Times New Roman"/>
          <w:b/>
          <w:bCs/>
          <w:color w:val="666666"/>
          <w:sz w:val="24"/>
          <w:szCs w:val="26"/>
          <w:bdr w:val="none" w:sz="0" w:space="0" w:color="auto" w:frame="1"/>
          <w:lang w:eastAsia="es-MX"/>
        </w:rPr>
        <w:t>Ricardo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 y </w:t>
      </w:r>
      <w:r w:rsidRPr="00961C85">
        <w:rPr>
          <w:rFonts w:ascii="Candara" w:eastAsia="Times New Roman" w:hAnsi="Candara" w:cs="Times New Roman"/>
          <w:b/>
          <w:bCs/>
          <w:color w:val="666666"/>
          <w:sz w:val="24"/>
          <w:szCs w:val="26"/>
          <w:bdr w:val="none" w:sz="0" w:space="0" w:color="auto" w:frame="1"/>
          <w:lang w:eastAsia="es-MX"/>
        </w:rPr>
        <w:t>Pedro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) pero, para aquellos que no conocen sus identidades, son apenas tres individuos. Este grupo, sin embargo, puede considerarse como uno frente a otros grupos de gente. Así, según el contexto, podría hablarse de un grupo individual entre una multitud de grupos.</w:t>
      </w:r>
    </w:p>
    <w:p w:rsidR="00961C85" w:rsidRPr="00961C85" w:rsidRDefault="00961C85" w:rsidP="00961C85">
      <w:pPr>
        <w:spacing w:after="0" w:line="459" w:lineRule="atLeast"/>
        <w:jc w:val="both"/>
        <w:textAlignment w:val="baseline"/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</w:pP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La individualidad de cada ser vivo puede analizarse desde diversos puntos de vista; la concepción más ampliamente aceptada la asocia a los </w:t>
      </w:r>
      <w:hyperlink r:id="rId10" w:history="1">
        <w:r w:rsidRPr="00961C85">
          <w:rPr>
            <w:rFonts w:ascii="Candara" w:eastAsia="Times New Roman" w:hAnsi="Candara" w:cs="Times New Roman"/>
            <w:b/>
            <w:bCs/>
            <w:color w:val="BB4B0D"/>
            <w:sz w:val="24"/>
            <w:szCs w:val="26"/>
            <w:u w:val="single"/>
            <w:bdr w:val="none" w:sz="0" w:space="0" w:color="auto" w:frame="1"/>
            <w:lang w:eastAsia="es-MX"/>
          </w:rPr>
          <w:t>rasgos</w:t>
        </w:r>
      </w:hyperlink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únicos e irrepetibles de cada uno, y de esta forma de entenderla se desprenden dos posibles valoraciones: que cada individuo es indispensable, ya que no existe manera de reemplazarlo por otro; que sólo ciertos individuos son importantes, y en las características propias de cada uno se encuentran las razones para decidir quiénes lo son.</w:t>
      </w:r>
    </w:p>
    <w:p w:rsidR="00961C85" w:rsidRPr="00961C85" w:rsidRDefault="00961C85" w:rsidP="00961C85">
      <w:pPr>
        <w:spacing w:after="0" w:line="459" w:lineRule="atLeast"/>
        <w:jc w:val="both"/>
        <w:textAlignment w:val="baseline"/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</w:pP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Todo movimiento en favor de los </w:t>
      </w:r>
      <w:hyperlink r:id="rId11" w:history="1">
        <w:r w:rsidRPr="00961C85">
          <w:rPr>
            <w:rFonts w:ascii="Candara" w:eastAsia="Times New Roman" w:hAnsi="Candara" w:cs="Times New Roman"/>
            <w:b/>
            <w:bCs/>
            <w:color w:val="BB4B0D"/>
            <w:sz w:val="24"/>
            <w:szCs w:val="26"/>
            <w:u w:val="single"/>
            <w:bdr w:val="none" w:sz="0" w:space="0" w:color="auto" w:frame="1"/>
            <w:lang w:eastAsia="es-MX"/>
          </w:rPr>
          <w:t>derechos</w:t>
        </w:r>
      </w:hyperlink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 de los seres vivos se apoyan en que cada individuo vale y debe ser respetado, de modo que no puede aceptarse ninguna forma de discriminación para decidir quién puede vivir; el especismo es una de las peores combinaciones de malos entendidos y contradicciones, ya que otorga a ciertas especies el derecho a ser amadas y protegidas, y a otras, la condena de ser explotadas y asesinadas, pero también establece una jerarquía entre sus respectivos individuos.</w:t>
      </w:r>
    </w:p>
    <w:p w:rsidR="00961C85" w:rsidRPr="00961C85" w:rsidRDefault="00961C85" w:rsidP="00961C85">
      <w:pPr>
        <w:spacing w:after="0" w:line="459" w:lineRule="atLeast"/>
        <w:jc w:val="both"/>
        <w:textAlignment w:val="baseline"/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</w:pPr>
      <w:r w:rsidRPr="00961C85">
        <w:rPr>
          <w:rFonts w:ascii="Candara" w:eastAsia="Times New Roman" w:hAnsi="Candara" w:cs="Times New Roman"/>
          <w:noProof/>
          <w:color w:val="BB4B0D"/>
          <w:sz w:val="24"/>
          <w:szCs w:val="26"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-204281</wp:posOffset>
            </wp:positionH>
            <wp:positionV relativeFrom="paragraph">
              <wp:posOffset>249744</wp:posOffset>
            </wp:positionV>
            <wp:extent cx="2130425" cy="1750695"/>
            <wp:effectExtent l="0" t="0" r="3175" b="1905"/>
            <wp:wrapSquare wrapText="bothSides"/>
            <wp:docPr id="2" name="Imagen 2" descr="Individu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ividu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Resulta interesante acentuar que no solemos encontrarnos con individuos que no formen parte de un grupo: tanto los seres que pertenecen a una misma </w:t>
      </w:r>
      <w:hyperlink r:id="rId14" w:history="1">
        <w:r w:rsidRPr="00961C85">
          <w:rPr>
            <w:rFonts w:ascii="Candara" w:eastAsia="Times New Roman" w:hAnsi="Candara" w:cs="Times New Roman"/>
            <w:b/>
            <w:bCs/>
            <w:color w:val="BB4B0D"/>
            <w:sz w:val="24"/>
            <w:szCs w:val="26"/>
            <w:u w:val="single"/>
            <w:bdr w:val="none" w:sz="0" w:space="0" w:color="auto" w:frame="1"/>
            <w:lang w:eastAsia="es-MX"/>
          </w:rPr>
          <w:t>especie</w:t>
        </w:r>
      </w:hyperlink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, como aquellos que comparten sus raíces o sus creencias, partimos de un origen común para realizar la </w:t>
      </w:r>
      <w:r w:rsidRPr="00961C85">
        <w:rPr>
          <w:rFonts w:ascii="Candara" w:eastAsia="Times New Roman" w:hAnsi="Candara" w:cs="Times New Roman"/>
          <w:b/>
          <w:bCs/>
          <w:color w:val="666666"/>
          <w:sz w:val="24"/>
          <w:szCs w:val="26"/>
          <w:bdr w:val="none" w:sz="0" w:space="0" w:color="auto" w:frame="1"/>
          <w:lang w:eastAsia="es-MX"/>
        </w:rPr>
        <w:t>distinción de entidades indivisibles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. Por lo tanto, existe un matiz que enlaza la cualidad de único e independiente a la posición dentro de un sistema de mayores dimensiones, en el cual ningún individuo está solo.</w:t>
      </w:r>
    </w:p>
    <w:p w:rsidR="00961C85" w:rsidRPr="00961C85" w:rsidRDefault="00961C85" w:rsidP="00961C85">
      <w:pPr>
        <w:spacing w:after="0" w:line="459" w:lineRule="atLeast"/>
        <w:jc w:val="both"/>
        <w:textAlignment w:val="baseline"/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</w:pP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Cuestiones filosóficas al margen, en el lenguaje coloquial se utiliza la noción de individuo para nombrar a cualquier </w:t>
      </w:r>
      <w:hyperlink r:id="rId15" w:history="1">
        <w:r w:rsidRPr="00961C85">
          <w:rPr>
            <w:rFonts w:ascii="Candara" w:eastAsia="Times New Roman" w:hAnsi="Candara" w:cs="Times New Roman"/>
            <w:b/>
            <w:bCs/>
            <w:color w:val="BB4B0D"/>
            <w:sz w:val="24"/>
            <w:szCs w:val="26"/>
            <w:u w:val="single"/>
            <w:bdr w:val="none" w:sz="0" w:space="0" w:color="auto" w:frame="1"/>
            <w:lang w:eastAsia="es-MX"/>
          </w:rPr>
          <w:t>persona</w:t>
        </w:r>
      </w:hyperlink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 cuyo nombre y condición se ignoran: </w:t>
      </w:r>
      <w:r w:rsidRPr="00961C85">
        <w:rPr>
          <w:rFonts w:ascii="Candara" w:eastAsia="Times New Roman" w:hAnsi="Candara" w:cs="Times New Roman"/>
          <w:i/>
          <w:iCs/>
          <w:color w:val="666666"/>
          <w:sz w:val="24"/>
          <w:szCs w:val="26"/>
          <w:bdr w:val="none" w:sz="0" w:space="0" w:color="auto" w:frame="1"/>
          <w:lang w:eastAsia="es-MX"/>
        </w:rPr>
        <w:t>“Cuatro individuos ingresaron con fines de robo y fueron repelidos por la autoridad policial, dándose a la fuga de manera inmediata”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.</w:t>
      </w:r>
    </w:p>
    <w:p w:rsidR="00961C85" w:rsidRPr="00961C85" w:rsidRDefault="00961C85" w:rsidP="00961C85">
      <w:pPr>
        <w:spacing w:after="0" w:line="459" w:lineRule="atLeast"/>
        <w:jc w:val="both"/>
        <w:textAlignment w:val="baseline"/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</w:pP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En el habla cotidiana, el uso del término individuo para referirse a una persona no es común, ya que puede tener tintes despectivos y ofensivos. Por otro lado, en ámbitos como el policial o el científico sí es normal su utilización, para alejarse completamente de cualquier connotación subjetiva y ser capaces de observar una situación o </w:t>
      </w:r>
      <w:hyperlink r:id="rId16" w:history="1">
        <w:r w:rsidRPr="00961C85">
          <w:rPr>
            <w:rFonts w:ascii="Candara" w:eastAsia="Times New Roman" w:hAnsi="Candara" w:cs="Times New Roman"/>
            <w:b/>
            <w:bCs/>
            <w:color w:val="BB4B0D"/>
            <w:sz w:val="24"/>
            <w:szCs w:val="26"/>
            <w:u w:val="single"/>
            <w:bdr w:val="none" w:sz="0" w:space="0" w:color="auto" w:frame="1"/>
            <w:lang w:eastAsia="es-MX"/>
          </w:rPr>
          <w:t>fenómeno</w:t>
        </w:r>
      </w:hyperlink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 con las herramientas técnicas propias de cada campo.</w:t>
      </w:r>
    </w:p>
    <w:p w:rsidR="00961C85" w:rsidRPr="00961C85" w:rsidRDefault="00961C85" w:rsidP="00961C85">
      <w:pPr>
        <w:spacing w:after="0" w:line="459" w:lineRule="atLeast"/>
        <w:jc w:val="both"/>
        <w:textAlignment w:val="baseline"/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</w:pP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Dentro de la familia de esta palabra se encuentra el adjetivo “individual”, que también presenta diversos usos, algunos más técnicos que otros. Se denomina </w:t>
      </w:r>
      <w:r w:rsidRPr="00961C85">
        <w:rPr>
          <w:rFonts w:ascii="Candara" w:eastAsia="Times New Roman" w:hAnsi="Candara" w:cs="Times New Roman"/>
          <w:b/>
          <w:bCs/>
          <w:color w:val="666666"/>
          <w:sz w:val="24"/>
          <w:szCs w:val="26"/>
          <w:bdr w:val="none" w:sz="0" w:space="0" w:color="auto" w:frame="1"/>
          <w:lang w:eastAsia="es-MX"/>
        </w:rPr>
        <w:t>derechos individuales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, por ejemplo, a aquellos de los que goza cada individuo y que ningún gobernante puede restringir, lo cual los convierte en inmanentes, imprescriptibles e inalienables.</w:t>
      </w:r>
    </w:p>
    <w:p w:rsidR="00D7759C" w:rsidRPr="00961C85" w:rsidRDefault="00961C85" w:rsidP="00961C85">
      <w:pPr>
        <w:spacing w:after="0" w:line="459" w:lineRule="atLeast"/>
        <w:jc w:val="both"/>
        <w:textAlignment w:val="baseline"/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</w:pP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Cada ser </w:t>
      </w:r>
      <w:hyperlink r:id="rId17" w:history="1">
        <w:r w:rsidRPr="00961C85">
          <w:rPr>
            <w:rFonts w:ascii="Candara" w:eastAsia="Times New Roman" w:hAnsi="Candara" w:cs="Times New Roman"/>
            <w:b/>
            <w:bCs/>
            <w:color w:val="BB4B0D"/>
            <w:sz w:val="24"/>
            <w:szCs w:val="26"/>
            <w:u w:val="single"/>
            <w:bdr w:val="none" w:sz="0" w:space="0" w:color="auto" w:frame="1"/>
            <w:lang w:eastAsia="es-MX"/>
          </w:rPr>
          <w:t>animal</w:t>
        </w:r>
      </w:hyperlink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 o vegetal organizado respecto de la especie a la que pertenece también recibe el nombre de individuo: </w:t>
      </w:r>
      <w:r w:rsidRPr="00961C85">
        <w:rPr>
          <w:rFonts w:ascii="Candara" w:eastAsia="Times New Roman" w:hAnsi="Candara" w:cs="Times New Roman"/>
          <w:i/>
          <w:iCs/>
          <w:color w:val="666666"/>
          <w:sz w:val="24"/>
          <w:szCs w:val="26"/>
          <w:bdr w:val="none" w:sz="0" w:space="0" w:color="auto" w:frame="1"/>
          <w:lang w:eastAsia="es-MX"/>
        </w:rPr>
        <w:t>“Se trata de un individuo de la misma raza, aunque de menor porte”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.</w:t>
      </w:r>
      <w:r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 xml:space="preserve"> 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Otro uso del término está vinculado a la persona perteneciente a una corporación o clase: </w:t>
      </w:r>
      <w:r w:rsidRPr="00961C85">
        <w:rPr>
          <w:rFonts w:ascii="Candara" w:eastAsia="Times New Roman" w:hAnsi="Candara" w:cs="Times New Roman"/>
          <w:i/>
          <w:iCs/>
          <w:color w:val="666666"/>
          <w:sz w:val="24"/>
          <w:szCs w:val="26"/>
          <w:bdr w:val="none" w:sz="0" w:space="0" w:color="auto" w:frame="1"/>
          <w:lang w:eastAsia="es-MX"/>
        </w:rPr>
        <w:t>“Un individuo de la Academia Uruguaya de Baile fue distinguido en un concurso internacional”</w:t>
      </w:r>
      <w:r w:rsidRPr="00961C85">
        <w:rPr>
          <w:rFonts w:ascii="Candara" w:eastAsia="Times New Roman" w:hAnsi="Candara" w:cs="Times New Roman"/>
          <w:color w:val="666666"/>
          <w:sz w:val="24"/>
          <w:szCs w:val="26"/>
          <w:lang w:eastAsia="es-MX"/>
        </w:rPr>
        <w:t>.</w:t>
      </w:r>
      <w:bookmarkStart w:id="0" w:name="_GoBack"/>
      <w:bookmarkEnd w:id="0"/>
    </w:p>
    <w:sectPr w:rsidR="00D7759C" w:rsidRPr="00961C85" w:rsidSect="00961C85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85"/>
    <w:rsid w:val="00961C85"/>
    <w:rsid w:val="00D7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8A416-7CE9-4A3E-BD77-D6F1685C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1C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/logica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finicion.de/sistema" TargetMode="External"/><Relationship Id="rId12" Type="http://schemas.openxmlformats.org/officeDocument/2006/relationships/hyperlink" Target="https://definicion.de/wp-content/uploads/2011/02/Individuo.png" TargetMode="External"/><Relationship Id="rId17" Type="http://schemas.openxmlformats.org/officeDocument/2006/relationships/hyperlink" Target="https://definicion.de/anima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finicion.de/fenomeno/" TargetMode="External"/><Relationship Id="rId1" Type="http://schemas.openxmlformats.org/officeDocument/2006/relationships/styles" Target="styles.xml"/><Relationship Id="rId6" Type="http://schemas.openxmlformats.org/officeDocument/2006/relationships/hyperlink" Target="https://definicion.de/unidad/" TargetMode="External"/><Relationship Id="rId11" Type="http://schemas.openxmlformats.org/officeDocument/2006/relationships/hyperlink" Target="https://definicion.de/derecho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efinicion.de/persona" TargetMode="External"/><Relationship Id="rId10" Type="http://schemas.openxmlformats.org/officeDocument/2006/relationships/hyperlink" Target="https://definicion.de/rasgo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efinicion.de/individuo/" TargetMode="External"/><Relationship Id="rId9" Type="http://schemas.openxmlformats.org/officeDocument/2006/relationships/hyperlink" Target="https://definicion.de/filosofia/" TargetMode="External"/><Relationship Id="rId14" Type="http://schemas.openxmlformats.org/officeDocument/2006/relationships/hyperlink" Target="https://definicion.de/especi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672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dcterms:created xsi:type="dcterms:W3CDTF">2019-03-02T17:45:00Z</dcterms:created>
  <dcterms:modified xsi:type="dcterms:W3CDTF">2019-03-02T17:50:00Z</dcterms:modified>
</cp:coreProperties>
</file>