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219" w:rsidRPr="0033503A" w:rsidRDefault="00260219" w:rsidP="0033503A">
      <w:pPr>
        <w:keepNext/>
        <w:keepLines/>
        <w:spacing w:before="400" w:after="120" w:line="360" w:lineRule="auto"/>
        <w:jc w:val="both"/>
        <w:outlineLvl w:val="0"/>
        <w:rPr>
          <w:rFonts w:ascii="Tahoma" w:eastAsia="Arial" w:hAnsi="Tahoma" w:cs="Tahoma"/>
          <w:b/>
          <w:color w:val="008E40"/>
          <w:lang w:val="es" w:eastAsia="es-MX"/>
        </w:rPr>
      </w:pPr>
      <w:bookmarkStart w:id="0" w:name="_Toc4508744"/>
      <w:r w:rsidRPr="0033503A">
        <w:rPr>
          <w:rFonts w:ascii="Franklin Gothic Medium" w:eastAsia="Arial" w:hAnsi="Franklin Gothic Medium" w:cs="Arial"/>
          <w:b/>
          <w:color w:val="7030A0"/>
          <w:lang w:val="es" w:eastAsia="es-MX"/>
        </w:rPr>
        <w:t>INDEPENDENCIA FÍSICA DE DATOS</w:t>
      </w:r>
      <w:bookmarkEnd w:id="0"/>
      <w:r w:rsidR="0033503A">
        <w:rPr>
          <w:rFonts w:ascii="Franklin Gothic Medium" w:eastAsia="Arial" w:hAnsi="Franklin Gothic Medium" w:cs="Arial"/>
          <w:b/>
          <w:color w:val="7030A0"/>
          <w:lang w:val="es" w:eastAsia="es-MX"/>
        </w:rPr>
        <w:t xml:space="preserve">: </w:t>
      </w:r>
      <w:r w:rsidRPr="0033503A">
        <w:rPr>
          <w:rFonts w:ascii="Tahoma" w:eastAsia="Arial" w:hAnsi="Tahoma" w:cs="Tahoma"/>
          <w:color w:val="008E40"/>
          <w:sz w:val="24"/>
          <w:szCs w:val="24"/>
          <w:lang w:val="es" w:eastAsia="es-MX"/>
        </w:rPr>
        <w:t>Independencia física de datos. Es la capacidad de cambiar el esquema interno sin que haya que cambiar el esquema conceptual. Por tanto, tampoco es necesario cambiar los esquemas externos. Por regla general, la independencia física de datos existe en la mayoría de las bases de datos y de los entornos de archivos en los que al usuario se le ocultan la ubicación exacta de los datos en el disco, los detalles hardware de la codificación del almacenamiento, la colocación, la compresión, la división, la fusión de registros, etcétera.</w:t>
      </w:r>
    </w:p>
    <w:p w:rsidR="00260219" w:rsidRPr="00260219" w:rsidRDefault="00260219" w:rsidP="00260219">
      <w:pPr>
        <w:spacing w:after="0" w:line="360" w:lineRule="auto"/>
        <w:jc w:val="both"/>
        <w:rPr>
          <w:rFonts w:ascii="Arial" w:eastAsia="Arial" w:hAnsi="Arial" w:cs="Arial"/>
          <w:sz w:val="24"/>
          <w:szCs w:val="24"/>
          <w:lang w:val="es" w:eastAsia="es-MX"/>
        </w:rPr>
      </w:pPr>
      <w:bookmarkStart w:id="1" w:name="_GoBack"/>
    </w:p>
    <w:bookmarkEnd w:id="1"/>
    <w:p w:rsidR="00260219" w:rsidRPr="00B94580" w:rsidRDefault="00B94580" w:rsidP="0033503A">
      <w:pPr>
        <w:spacing w:after="0" w:line="360" w:lineRule="auto"/>
        <w:jc w:val="center"/>
        <w:rPr>
          <w:rFonts w:ascii="Franklin Gothic Medium" w:eastAsia="Arial" w:hAnsi="Franklin Gothic Medium" w:cs="Tahoma"/>
          <w:b/>
          <w:color w:val="7030A0"/>
          <w:lang w:val="es" w:eastAsia="es-MX"/>
        </w:rPr>
      </w:pPr>
      <w:sdt>
        <w:sdtPr>
          <w:rPr>
            <w:rFonts w:ascii="Franklin Gothic Medium" w:eastAsia="Arial" w:hAnsi="Franklin Gothic Medium" w:cs="Tahoma"/>
            <w:b/>
            <w:color w:val="7030A0"/>
            <w:lang w:val="es" w:eastAsia="es-MX"/>
          </w:rPr>
          <w:id w:val="1345366472"/>
          <w:citation/>
        </w:sdtPr>
        <w:sdtEndPr/>
        <w:sdtContent>
          <w:r w:rsidR="00260219" w:rsidRPr="00B94580">
            <w:rPr>
              <w:rFonts w:ascii="Franklin Gothic Medium" w:eastAsia="Arial" w:hAnsi="Franklin Gothic Medium" w:cs="Tahoma"/>
              <w:b/>
              <w:color w:val="7030A0"/>
              <w:lang w:val="es" w:eastAsia="es-MX"/>
            </w:rPr>
            <w:fldChar w:fldCharType="begin"/>
          </w:r>
          <w:r w:rsidR="00260219" w:rsidRPr="00B94580">
            <w:rPr>
              <w:rFonts w:ascii="Franklin Gothic Medium" w:eastAsia="Arial" w:hAnsi="Franklin Gothic Medium" w:cs="Tahoma"/>
              <w:b/>
              <w:color w:val="7030A0"/>
              <w:lang w:eastAsia="es-MX"/>
            </w:rPr>
            <w:instrText xml:space="preserve">CITATION Ram12 \p "32 y 33" \l 2058 </w:instrText>
          </w:r>
          <w:r w:rsidR="00260219" w:rsidRPr="00B94580">
            <w:rPr>
              <w:rFonts w:ascii="Franklin Gothic Medium" w:eastAsia="Arial" w:hAnsi="Franklin Gothic Medium" w:cs="Tahoma"/>
              <w:b/>
              <w:color w:val="7030A0"/>
              <w:lang w:val="es" w:eastAsia="es-MX"/>
            </w:rPr>
            <w:fldChar w:fldCharType="separate"/>
          </w:r>
          <w:r w:rsidR="00260219" w:rsidRPr="00B94580">
            <w:rPr>
              <w:rFonts w:ascii="Franklin Gothic Medium" w:eastAsia="Arial" w:hAnsi="Franklin Gothic Medium" w:cs="Tahoma"/>
              <w:b/>
              <w:noProof/>
              <w:color w:val="7030A0"/>
              <w:lang w:eastAsia="es-MX"/>
            </w:rPr>
            <w:t>(Navathe, 2012, pág. 32 y 33)</w:t>
          </w:r>
          <w:r w:rsidR="00260219" w:rsidRPr="00B94580">
            <w:rPr>
              <w:rFonts w:ascii="Franklin Gothic Medium" w:eastAsia="Arial" w:hAnsi="Franklin Gothic Medium" w:cs="Tahoma"/>
              <w:b/>
              <w:color w:val="7030A0"/>
              <w:lang w:val="es" w:eastAsia="es-MX"/>
            </w:rPr>
            <w:fldChar w:fldCharType="end"/>
          </w:r>
        </w:sdtContent>
      </w:sdt>
    </w:p>
    <w:p w:rsidR="00260219" w:rsidRDefault="00260219"/>
    <w:sectPr w:rsidR="0026021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219"/>
    <w:rsid w:val="00260219"/>
    <w:rsid w:val="0033503A"/>
    <w:rsid w:val="00B945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410E72-EF00-48DD-B975-C4511CC4A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Ram12</b:Tag>
    <b:SourceType>Book</b:SourceType>
    <b:Guid>{E00CD10F-68FB-43EA-8122-A7AAAD63342E}</b:Guid>
    <b:Author>
      <b:Author>
        <b:NameList>
          <b:Person>
            <b:Last>Navathe</b:Last>
            <b:First>Ramez</b:First>
            <b:Middle>Elmasri ShamaKant B.</b:Middle>
          </b:Person>
        </b:NameList>
      </b:Author>
    </b:Author>
    <b:Title>Fundamentos de sistemas de base de datos</b:Title>
    <b:Year>2012</b:Year>
    <b:RefOrder>4</b:RefOrder>
  </b:Source>
</b:Sources>
</file>

<file path=customXml/itemProps1.xml><?xml version="1.0" encoding="utf-8"?>
<ds:datastoreItem xmlns:ds="http://schemas.openxmlformats.org/officeDocument/2006/customXml" ds:itemID="{8C7E504E-FF9A-4D2D-9782-D72099964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539</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illuminati 666</dc:creator>
  <cp:keywords/>
  <dc:description/>
  <cp:lastModifiedBy>Lanix</cp:lastModifiedBy>
  <cp:revision>3</cp:revision>
  <dcterms:created xsi:type="dcterms:W3CDTF">2019-03-26T23:43:00Z</dcterms:created>
  <dcterms:modified xsi:type="dcterms:W3CDTF">2019-05-30T15:29:00Z</dcterms:modified>
</cp:coreProperties>
</file>