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BD" w:rsidRPr="001941BD" w:rsidRDefault="0032792D" w:rsidP="001941BD">
      <w:pPr>
        <w:spacing w:before="480" w:after="0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es-CO" w:bidi="en-U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B2DB664" wp14:editId="23BB18E2">
            <wp:simplePos x="0" y="0"/>
            <wp:positionH relativeFrom="column">
              <wp:posOffset>4406265</wp:posOffset>
            </wp:positionH>
            <wp:positionV relativeFrom="paragraph">
              <wp:posOffset>-388620</wp:posOffset>
            </wp:positionV>
            <wp:extent cx="1537335" cy="1530985"/>
            <wp:effectExtent l="0" t="0" r="5715" b="0"/>
            <wp:wrapNone/>
            <wp:docPr id="3" name="Imagen 3" descr="Vender libros por internet | Nuevos canales de ventaManada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nder libros por internet | Nuevos canales de ventaManada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FA5BA4B" wp14:editId="33E88B1D">
            <wp:simplePos x="0" y="0"/>
            <wp:positionH relativeFrom="column">
              <wp:posOffset>-526415</wp:posOffset>
            </wp:positionH>
            <wp:positionV relativeFrom="paragraph">
              <wp:posOffset>-517525</wp:posOffset>
            </wp:positionV>
            <wp:extent cx="1727835" cy="1340485"/>
            <wp:effectExtent l="0" t="0" r="5715" b="0"/>
            <wp:wrapNone/>
            <wp:docPr id="2" name="Imagen 2" descr="Concepto Imaginación, Niño Y Niña Que Lee Un Libro Objetos Vol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cepto Imaginación, Niño Y Niña Que Lee Un Libro Objetos Volan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DF9"/>
                        </a:clrFrom>
                        <a:clrTo>
                          <a:srgbClr val="FEFD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1BD" w:rsidRPr="001941BD">
        <w:rPr>
          <w:rFonts w:ascii="Cambria" w:eastAsia="Times New Roman" w:hAnsi="Cambria" w:cs="Times New Roman"/>
          <w:b/>
          <w:bCs/>
          <w:sz w:val="24"/>
          <w:szCs w:val="24"/>
          <w:lang w:val="es-CO" w:bidi="en-US"/>
        </w:rPr>
        <w:t>Las Tic y la Lectura</w:t>
      </w:r>
    </w:p>
    <w:p w:rsidR="001941BD" w:rsidRPr="001941BD" w:rsidRDefault="001941BD" w:rsidP="001941BD">
      <w:pPr>
        <w:rPr>
          <w:rFonts w:ascii="Cambria" w:eastAsia="Verdana" w:hAnsi="Cambria" w:cs="Times New Roman"/>
          <w:sz w:val="24"/>
          <w:szCs w:val="24"/>
          <w:lang w:val="es-CO" w:bidi="en-US"/>
        </w:rPr>
      </w:pPr>
    </w:p>
    <w:p w:rsidR="001941BD" w:rsidRPr="001941BD" w:rsidRDefault="001941BD" w:rsidP="001941B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41BD">
        <w:rPr>
          <w:rFonts w:ascii="Arial" w:eastAsia="Times New Roman" w:hAnsi="Arial" w:cs="Arial"/>
          <w:sz w:val="24"/>
          <w:szCs w:val="24"/>
          <w:lang w:eastAsia="es-ES"/>
        </w:rPr>
        <w:t>Los ambientes de aprendizaje se entienden como el clima propicio creado para atender a los sujetos que aprenden. Estos ambientes incluyen tanto los espacios físicos o virtuales como las condiciones que estimulan las actividades de pensamiento de los estudiantes.</w:t>
      </w:r>
    </w:p>
    <w:p w:rsidR="001941BD" w:rsidRPr="001941BD" w:rsidRDefault="001941BD" w:rsidP="001941B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41BD">
        <w:rPr>
          <w:rFonts w:ascii="Arial" w:eastAsia="Times New Roman" w:hAnsi="Arial" w:cs="Arial"/>
          <w:sz w:val="24"/>
          <w:szCs w:val="24"/>
          <w:lang w:eastAsia="es-ES"/>
        </w:rPr>
        <w:t xml:space="preserve">Por ejemplo, la consideración de rincones, talleres, museos, redes escolares,  videos, juegos ligados a la solución de problemas o la creatividad, entre otros, pueden proporcionar a los educandos, jóvenes o adultos un ambiente que les permita problematizar, descubrir o comprender alguna  situación desde distintas perspectivas. Por ende posibilitar transformaciones sociales </w:t>
      </w:r>
      <w:bookmarkStart w:id="0" w:name="_GoBack"/>
      <w:bookmarkEnd w:id="0"/>
      <w:r w:rsidRPr="001941BD">
        <w:rPr>
          <w:rFonts w:ascii="Arial" w:eastAsia="Times New Roman" w:hAnsi="Arial" w:cs="Arial"/>
          <w:sz w:val="24"/>
          <w:szCs w:val="24"/>
          <w:lang w:eastAsia="es-ES"/>
        </w:rPr>
        <w:t>favorecidas por la innovación tecnológica, cambios en las relaciones sociales fundamentadas  por una nueva concepción de las relaciones tecnología-sociedad que determinan las relaciones tecnología-educación.</w:t>
      </w:r>
    </w:p>
    <w:p w:rsidR="001941BD" w:rsidRPr="001941BD" w:rsidRDefault="001941BD" w:rsidP="001941BD">
      <w:p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1941BD">
        <w:rPr>
          <w:rFonts w:ascii="Arial" w:eastAsia="Times New Roman" w:hAnsi="Arial" w:cs="Arial"/>
          <w:sz w:val="24"/>
          <w:szCs w:val="24"/>
          <w:lang w:eastAsia="es-ES"/>
        </w:rPr>
        <w:t xml:space="preserve">Propiciar nuevos ambientes de aprendizaje  mediados por las TIC, genera cambios significativos en los modelos educativos, en los usuarios de la formación y cambios en los escenarios donde ocurre el aprendizaje. De modo que los ambientes instruccionales, tal como los conocemos, se transforman para adaptarse a la sociedad de la información, si tenemos en cuenta que con </w:t>
      </w:r>
      <w:r w:rsidRPr="001941BD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el acceso a las tecnologías se generan transformaciones en nuestras prácticas cotidianas, en la forma como nos relacionamos con el mundo, con los otros</w:t>
      </w:r>
      <w:r w:rsidRPr="001941BD">
        <w:rPr>
          <w:rFonts w:ascii="Arial" w:eastAsia="Times New Roman" w:hAnsi="Arial" w:cs="Arial"/>
          <w:i/>
          <w:sz w:val="24"/>
          <w:szCs w:val="24"/>
          <w:vertAlign w:val="superscript"/>
          <w:lang w:eastAsia="es-ES"/>
        </w:rPr>
        <w:footnoteReference w:id="1"/>
      </w:r>
      <w:r w:rsidRPr="001941BD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</w:p>
    <w:p w:rsidR="001941BD" w:rsidRPr="001941BD" w:rsidRDefault="001941BD" w:rsidP="001941BD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41BD">
        <w:rPr>
          <w:rFonts w:ascii="Arial" w:eastAsia="Times New Roman" w:hAnsi="Arial" w:cs="Arial"/>
          <w:sz w:val="24"/>
          <w:szCs w:val="24"/>
          <w:lang w:eastAsia="es-ES"/>
        </w:rPr>
        <w:t>En este sentido,  para cumplir con los actuales objetivos educativos de formar para el empleo, el ocio, el  mundo y autodesarrollo, el docente debe ser abierto y dispuesto para el cambio; mantener una  actitud positiva y sobre todo conocer las posibilidades que le brindan las NTIC; las condiciones de su contexto; así como identificar la disponibilidad de las herramientas, indagar constantemente sobre los aspectos concernientes a redes y comunidades de aprendizaje, sitios educativos,  recursos  y proyectos colaborativos entre otros, de modo que su rol trascienda la idea de acompañante y guía. Esto gracias a que los multimedios permiten una comunicación rica, al impactar varios de los canales preceptúales de los estudiantes, quienes aprenden mejor si la experiencia es placentera e innovadora.</w:t>
      </w:r>
    </w:p>
    <w:p w:rsidR="001941BD" w:rsidRPr="001941BD" w:rsidRDefault="001941BD" w:rsidP="001941BD">
      <w:pPr>
        <w:spacing w:after="0"/>
        <w:jc w:val="both"/>
        <w:rPr>
          <w:rFonts w:ascii="Arial" w:eastAsia="Verdana" w:hAnsi="Arial" w:cs="Arial"/>
          <w:sz w:val="24"/>
          <w:szCs w:val="24"/>
          <w:lang w:eastAsia="es-ES"/>
        </w:rPr>
      </w:pPr>
      <w:r w:rsidRPr="001941BD">
        <w:rPr>
          <w:rFonts w:ascii="Arial" w:eastAsia="Verdana" w:hAnsi="Arial" w:cs="Arial"/>
          <w:sz w:val="24"/>
          <w:szCs w:val="24"/>
          <w:lang w:bidi="en-US"/>
        </w:rPr>
        <w:t xml:space="preserve">El uso de las TIC y de la Internet en el aula favorecen la comunicación entre docentes y estudiantes a partir de experiencias significativas suscitadas por un nuevo medio de construcción de significado virtual, cooperativo y colaborativo. Cabe anotar que dicha comunicación tendrá éxito  siempre y cuando se genere un diálogo constante entre las tecnologías  de la comunicación, la cultura y la </w:t>
      </w:r>
      <w:r w:rsidRPr="001941BD">
        <w:rPr>
          <w:rFonts w:ascii="Arial" w:eastAsia="Verdana" w:hAnsi="Arial" w:cs="Arial"/>
          <w:sz w:val="24"/>
          <w:szCs w:val="24"/>
          <w:lang w:bidi="en-US"/>
        </w:rPr>
        <w:lastRenderedPageBreak/>
        <w:t>educación, de modo que se superen las orientaciones tecnocráticas de los medios por los medios y se logre integrar una pedagogía diferente a la actual, una pedagógica que invite a leer y confronte al estudiante frente a lo critico y lo virtual para que  se enriquezcan ambos aspectos, sin caer en la dependencia tecnológica o la segregación por la carencia de los recursos. En consecuencia el uso de las TIC en el aula debe tener por objetivo la generación de interés y creatividad en el estudiante, fomentar el espíritu investigativo, el desarrollo de la capacidad de análisis, asimismo, involucrar el trabajo en equipo y el respeto a la diferencia, mejorar la comunicación, ampliar el escenario de aprendizaje  y reducir las brechas generacionales</w:t>
      </w:r>
      <w:r w:rsidRPr="001941BD">
        <w:rPr>
          <w:rFonts w:ascii="Arial" w:eastAsia="Verdana" w:hAnsi="Arial" w:cs="Arial"/>
          <w:sz w:val="24"/>
          <w:szCs w:val="24"/>
          <w:lang w:eastAsia="es-ES"/>
        </w:rPr>
        <w:t xml:space="preserve"> </w:t>
      </w:r>
    </w:p>
    <w:p w:rsidR="00073E4F" w:rsidRPr="001941BD" w:rsidRDefault="00E54ECF" w:rsidP="001941B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46034</wp:posOffset>
            </wp:positionH>
            <wp:positionV relativeFrom="paragraph">
              <wp:posOffset>-271550</wp:posOffset>
            </wp:positionV>
            <wp:extent cx="5400040" cy="3629017"/>
            <wp:effectExtent l="0" t="0" r="0" b="0"/>
            <wp:wrapNone/>
            <wp:docPr id="1" name="Imagen 1" descr="5 herramientas TIC para disfrutar la magia de convertir PDF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herramientas TIC para disfrutar la magia de convertir PDF e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3E4F" w:rsidRPr="00194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58" w:rsidRDefault="003A3758" w:rsidP="001941BD">
      <w:pPr>
        <w:spacing w:after="0" w:line="240" w:lineRule="auto"/>
      </w:pPr>
      <w:r>
        <w:separator/>
      </w:r>
    </w:p>
  </w:endnote>
  <w:endnote w:type="continuationSeparator" w:id="0">
    <w:p w:rsidR="003A3758" w:rsidRDefault="003A3758" w:rsidP="0019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58" w:rsidRDefault="003A3758" w:rsidP="001941BD">
      <w:pPr>
        <w:spacing w:after="0" w:line="240" w:lineRule="auto"/>
      </w:pPr>
      <w:r>
        <w:separator/>
      </w:r>
    </w:p>
  </w:footnote>
  <w:footnote w:type="continuationSeparator" w:id="0">
    <w:p w:rsidR="003A3758" w:rsidRDefault="003A3758" w:rsidP="001941BD">
      <w:pPr>
        <w:spacing w:after="0" w:line="240" w:lineRule="auto"/>
      </w:pPr>
      <w:r>
        <w:continuationSeparator/>
      </w:r>
    </w:p>
  </w:footnote>
  <w:footnote w:id="1">
    <w:p w:rsidR="001941BD" w:rsidRDefault="001941BD" w:rsidP="001941BD">
      <w:pPr>
        <w:pStyle w:val="Textonotapie"/>
      </w:pPr>
      <w:r>
        <w:rPr>
          <w:rStyle w:val="Refdenotaalpie"/>
        </w:rPr>
        <w:footnoteRef/>
      </w:r>
      <w:r>
        <w:t xml:space="preserve"> ACEVEDO HERRERA, Darío. Tomado de: APROXIMACIÓN A LAS PROBLEMÁTICAS DE LAS NUEVAS TECNOLOGÍAS EN FILOSOFÍA Y </w:t>
      </w:r>
      <w:smartTag w:uri="urn:schemas-microsoft-com:office:smarttags" w:element="PersonName">
        <w:smartTagPr>
          <w:attr w:name="ProductID" w:val="LA EDUCACIￓN."/>
        </w:smartTagPr>
        <w:r>
          <w:t>LA EDUCACIÓN.</w:t>
        </w:r>
      </w:smartTag>
      <w:r>
        <w:t xml:space="preserve"> </w:t>
      </w:r>
    </w:p>
    <w:p w:rsidR="001941BD" w:rsidRDefault="001941BD" w:rsidP="001941BD">
      <w:pPr>
        <w:pStyle w:val="Textonotapie"/>
        <w:rPr>
          <w:lang w:val="es-ES_tradn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BD"/>
    <w:rsid w:val="00073E4F"/>
    <w:rsid w:val="001941BD"/>
    <w:rsid w:val="00272FA0"/>
    <w:rsid w:val="0032792D"/>
    <w:rsid w:val="003A3758"/>
    <w:rsid w:val="00E5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194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941B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rsid w:val="001941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194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941B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rsid w:val="001941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2020-03-30T17:03:00Z</dcterms:created>
  <dcterms:modified xsi:type="dcterms:W3CDTF">2020-03-30T17:23:00Z</dcterms:modified>
</cp:coreProperties>
</file>